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44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910"/>
        <w:gridCol w:w="1290"/>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529" w:type="dxa"/>
            <w:vAlign w:val="center"/>
          </w:tcPr>
          <w:p>
            <w:pPr>
              <w:widowControl w:val="0"/>
              <w:jc w:val="center"/>
              <w:rPr>
                <w:rFonts w:hint="eastAsia" w:ascii="仿宋_GB2312" w:hAnsi="仿宋_GB2312" w:eastAsia="仿宋_GB2312" w:cs="仿宋_GB2312"/>
                <w:w w:val="100"/>
                <w:kern w:val="2"/>
                <w:sz w:val="32"/>
                <w:szCs w:val="32"/>
                <w:shd w:val="clear"/>
                <w:lang w:val="en-US" w:eastAsia="zh-CN" w:bidi="ar-SA"/>
              </w:rPr>
            </w:pPr>
            <w:r>
              <w:rPr>
                <w:rFonts w:hint="eastAsia" w:ascii="仿宋_GB2312" w:hAnsi="仿宋_GB2312" w:eastAsia="仿宋_GB2312" w:cs="仿宋_GB2312"/>
                <w:w w:val="100"/>
                <w:kern w:val="2"/>
                <w:sz w:val="32"/>
                <w:szCs w:val="32"/>
                <w:shd w:val="clear"/>
                <w:lang w:val="en-US" w:eastAsia="zh-CN" w:bidi="ar-SA"/>
              </w:rPr>
              <w:t xml:space="preserve">                                                                                                                                                                     文件标题</w:t>
            </w:r>
          </w:p>
        </w:tc>
        <w:tc>
          <w:tcPr>
            <w:tcW w:w="6916" w:type="dxa"/>
            <w:gridSpan w:val="3"/>
            <w:vAlign w:val="center"/>
          </w:tcPr>
          <w:p>
            <w:pPr>
              <w:spacing w:line="56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position w:val="0"/>
                <w:sz w:val="32"/>
                <w:szCs w:val="32"/>
              </w:rPr>
              <w:t>关于</w:t>
            </w:r>
            <w:r>
              <w:rPr>
                <w:rFonts w:hint="eastAsia" w:ascii="仿宋_GB2312" w:hAnsi="仿宋_GB2312" w:eastAsia="仿宋_GB2312" w:cs="仿宋_GB2312"/>
                <w:sz w:val="32"/>
                <w:szCs w:val="32"/>
              </w:rPr>
              <w:t>肃南</w:t>
            </w:r>
            <w:r>
              <w:rPr>
                <w:rFonts w:hint="eastAsia" w:ascii="仿宋_GB2312" w:hAnsi="仿宋_GB2312" w:eastAsia="仿宋_GB2312" w:cs="仿宋_GB2312"/>
                <w:sz w:val="32"/>
                <w:szCs w:val="32"/>
                <w:lang w:eastAsia="zh-CN"/>
              </w:rPr>
              <w:t>裕固族自治</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康乐镇</w:t>
            </w:r>
          </w:p>
          <w:p>
            <w:pPr>
              <w:widowControl w:val="0"/>
              <w:numPr>
                <w:ilvl w:val="0"/>
                <w:numId w:val="0"/>
              </w:numPr>
              <w:wordWrap w:val="0"/>
              <w:spacing w:before="0" w:after="0" w:line="311" w:lineRule="auto"/>
              <w:ind w:right="0" w:firstLine="0"/>
              <w:jc w:val="center"/>
              <w:rPr>
                <w:rFonts w:hint="eastAsia" w:ascii="仿宋_GB2312" w:hAnsi="仿宋_GB2312" w:eastAsia="仿宋_GB2312" w:cs="仿宋_GB2312"/>
                <w:w w:val="100"/>
                <w:sz w:val="32"/>
                <w:szCs w:val="32"/>
                <w:shd w:val="clear"/>
                <w:vertAlign w:val="baseline"/>
                <w:lang w:val="en-US" w:eastAsia="zh-CN"/>
              </w:rPr>
            </w:pPr>
            <w:r>
              <w:rPr>
                <w:rFonts w:hint="eastAsia" w:ascii="仿宋_GB2312" w:hAnsi="仿宋_GB2312" w:eastAsia="仿宋_GB2312" w:cs="仿宋_GB2312"/>
                <w:sz w:val="32"/>
                <w:szCs w:val="32"/>
                <w:lang w:eastAsia="zh-CN"/>
              </w:rPr>
              <w:t>整体支出</w:t>
            </w:r>
            <w:r>
              <w:rPr>
                <w:rFonts w:hint="eastAsia" w:ascii="仿宋_GB2312" w:hAnsi="仿宋_GB2312" w:eastAsia="仿宋_GB2312" w:cs="仿宋_GB2312"/>
                <w:sz w:val="32"/>
                <w:szCs w:val="32"/>
              </w:rPr>
              <w:t>绩效自评</w:t>
            </w:r>
            <w:r>
              <w:rPr>
                <w:rFonts w:hint="eastAsia" w:ascii="仿宋_GB2312" w:hAnsi="仿宋_GB2312" w:eastAsia="仿宋_GB2312" w:cs="仿宋_GB2312"/>
                <w:sz w:val="32"/>
                <w:szCs w:val="32"/>
                <w:lang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29" w:type="dxa"/>
            <w:vAlign w:val="center"/>
          </w:tcPr>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发文字号</w:t>
            </w:r>
          </w:p>
        </w:tc>
        <w:tc>
          <w:tcPr>
            <w:tcW w:w="6916" w:type="dxa"/>
            <w:gridSpan w:val="3"/>
            <w:vAlign w:val="center"/>
          </w:tcPr>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w w:val="100"/>
                <w:kern w:val="2"/>
                <w:sz w:val="32"/>
                <w:szCs w:val="32"/>
                <w:shd w:val="clear"/>
                <w:lang w:val="en-US" w:eastAsia="zh-CN" w:bidi="ar-SA"/>
              </w:rPr>
            </w:pPr>
          </w:p>
          <w:p>
            <w:pPr>
              <w:widowControl w:val="0"/>
              <w:spacing w:line="440" w:lineRule="exact"/>
              <w:jc w:val="center"/>
              <w:rPr>
                <w:rFonts w:hint="eastAsia" w:ascii="仿宋_GB2312" w:hAnsi="仿宋_GB2312" w:eastAsia="仿宋_GB2312" w:cs="Times New Roman"/>
                <w:color w:val="000000"/>
                <w:w w:val="100"/>
                <w:kern w:val="2"/>
                <w:sz w:val="32"/>
                <w:szCs w:val="24"/>
                <w:shd w:val="clear"/>
                <w:lang w:val="en-US" w:eastAsia="zh-CN" w:bidi="ar-SA"/>
              </w:rPr>
            </w:pPr>
            <w:r>
              <w:rPr>
                <w:rFonts w:hint="eastAsia" w:ascii="仿宋_GB2312" w:hAnsi="仿宋_GB2312" w:eastAsia="仿宋_GB2312" w:cs="Times New Roman"/>
                <w:color w:val="000000"/>
                <w:w w:val="100"/>
                <w:kern w:val="2"/>
                <w:sz w:val="32"/>
                <w:szCs w:val="24"/>
                <w:shd w:val="clear"/>
                <w:lang w:val="en-US" w:eastAsia="zh-CN" w:bidi="ar-SA"/>
              </w:rPr>
              <w:t>康政发〔2021〕   号</w:t>
            </w:r>
          </w:p>
          <w:p>
            <w:pPr>
              <w:widowControl w:val="0"/>
              <w:spacing w:line="500" w:lineRule="exact"/>
              <w:jc w:val="center"/>
              <w:rPr>
                <w:rFonts w:hint="eastAsia" w:ascii="仿宋_GB2312" w:hAnsi="仿宋_GB2312" w:eastAsia="仿宋_GB2312" w:cs="仿宋_GB2312"/>
                <w:w w:val="100"/>
                <w:kern w:val="2"/>
                <w:sz w:val="32"/>
                <w:szCs w:val="32"/>
                <w:shd w:val="clear"/>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29" w:type="dxa"/>
            <w:vAlign w:val="center"/>
          </w:tcPr>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主送单位</w:t>
            </w:r>
          </w:p>
        </w:tc>
        <w:tc>
          <w:tcPr>
            <w:tcW w:w="6916" w:type="dxa"/>
            <w:gridSpan w:val="3"/>
            <w:vAlign w:val="center"/>
          </w:tcPr>
          <w:p>
            <w:pPr>
              <w:widowControl w:val="0"/>
              <w:jc w:val="center"/>
              <w:rPr>
                <w:rFonts w:hint="eastAsia" w:ascii="仿宋_GB2312" w:hAnsi="Calibri" w:eastAsia="仿宋_GB2312" w:cs="Times New Roman"/>
                <w:w w:val="100"/>
                <w:kern w:val="2"/>
                <w:sz w:val="32"/>
                <w:szCs w:val="32"/>
                <w:shd w:val="clear"/>
                <w:lang w:val="en-US" w:eastAsia="zh-CN" w:bidi="ar-SA"/>
              </w:rPr>
            </w:pPr>
            <w:r>
              <w:rPr>
                <w:rFonts w:hint="eastAsia" w:ascii="仿宋_GB2312" w:hAnsi="Calibri" w:eastAsia="仿宋_GB2312" w:cs="Times New Roman"/>
                <w:w w:val="100"/>
                <w:kern w:val="2"/>
                <w:sz w:val="32"/>
                <w:szCs w:val="32"/>
                <w:shd w:val="clear"/>
                <w:lang w:val="en-US" w:eastAsia="zh-CN" w:bidi="ar-SA"/>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29" w:type="dxa"/>
            <w:vAlign w:val="center"/>
          </w:tcPr>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抄送单位</w:t>
            </w:r>
          </w:p>
        </w:tc>
        <w:tc>
          <w:tcPr>
            <w:tcW w:w="6916" w:type="dxa"/>
            <w:gridSpan w:val="3"/>
            <w:vAlign w:val="center"/>
          </w:tcPr>
          <w:p>
            <w:pPr>
              <w:widowControl w:val="0"/>
              <w:jc w:val="center"/>
              <w:rPr>
                <w:rFonts w:hint="default" w:ascii="仿宋_GB2312" w:hAnsi="Calibri" w:eastAsia="仿宋_GB2312" w:cs="Times New Roman"/>
                <w:w w:val="100"/>
                <w:kern w:val="2"/>
                <w:sz w:val="32"/>
                <w:szCs w:val="32"/>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529" w:type="dxa"/>
            <w:vAlign w:val="center"/>
          </w:tcPr>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行文日期</w:t>
            </w:r>
          </w:p>
        </w:tc>
        <w:tc>
          <w:tcPr>
            <w:tcW w:w="6916" w:type="dxa"/>
            <w:gridSpan w:val="3"/>
            <w:vAlign w:val="center"/>
          </w:tcPr>
          <w:p>
            <w:pPr>
              <w:pStyle w:val="7"/>
              <w:jc w:val="center"/>
              <w:rPr>
                <w:rFonts w:hint="default" w:ascii="仿宋_GB2312" w:hAnsi="仿宋_GB2312" w:eastAsia="仿宋_GB2312" w:cs="仿宋_GB2312"/>
                <w:w w:val="100"/>
                <w:sz w:val="32"/>
                <w:szCs w:val="32"/>
                <w:shd w:val="clear"/>
                <w:vertAlign w:val="baseline"/>
                <w:lang w:val="en-US" w:eastAsia="zh-CN"/>
              </w:rPr>
            </w:pPr>
            <w:r>
              <w:rPr>
                <w:rFonts w:hint="eastAsia" w:ascii="仿宋_GB2312" w:hAnsi="仿宋_GB2312" w:eastAsia="仿宋_GB2312" w:cs="仿宋_GB2312"/>
                <w:w w:val="100"/>
                <w:sz w:val="32"/>
                <w:szCs w:val="32"/>
                <w:shd w:val="clear"/>
                <w:vertAlign w:val="baseline"/>
                <w:lang w:val="en-US" w:eastAsia="zh-CN"/>
              </w:rPr>
              <w:t>2021.1.22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529" w:type="dxa"/>
            <w:vAlign w:val="center"/>
          </w:tcPr>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附</w:t>
            </w:r>
            <w:r>
              <w:rPr>
                <w:rFonts w:hint="eastAsia" w:ascii="仿宋_GB2312" w:hAnsi="仿宋_GB2312" w:eastAsia="仿宋_GB2312" w:cs="仿宋_GB2312"/>
                <w:w w:val="100"/>
                <w:sz w:val="32"/>
                <w:szCs w:val="32"/>
                <w:shd w:val="clear"/>
                <w:vertAlign w:val="baseline"/>
                <w:lang w:val="en-US" w:eastAsia="zh-CN"/>
              </w:rPr>
              <w:t xml:space="preserve">   </w:t>
            </w:r>
            <w:r>
              <w:rPr>
                <w:rFonts w:hint="eastAsia" w:ascii="仿宋_GB2312" w:hAnsi="仿宋_GB2312" w:eastAsia="仿宋_GB2312" w:cs="仿宋_GB2312"/>
                <w:w w:val="100"/>
                <w:sz w:val="32"/>
                <w:szCs w:val="32"/>
                <w:shd w:val="clear"/>
                <w:vertAlign w:val="baseline"/>
                <w:lang w:eastAsia="zh-CN"/>
              </w:rPr>
              <w:t>件</w:t>
            </w:r>
          </w:p>
        </w:tc>
        <w:tc>
          <w:tcPr>
            <w:tcW w:w="2910" w:type="dxa"/>
            <w:vAlign w:val="center"/>
          </w:tcPr>
          <w:p>
            <w:pPr>
              <w:pStyle w:val="7"/>
              <w:numPr>
                <w:ilvl w:val="0"/>
                <w:numId w:val="0"/>
              </w:numPr>
              <w:tabs>
                <w:tab w:val="left" w:pos="1002"/>
              </w:tabs>
              <w:jc w:val="center"/>
              <w:rPr>
                <w:rFonts w:hint="default" w:ascii="仿宋_GB2312" w:hAnsi="仿宋_GB2312" w:eastAsia="仿宋_GB2312" w:cs="仿宋_GB2312"/>
                <w:w w:val="100"/>
                <w:sz w:val="32"/>
                <w:szCs w:val="32"/>
                <w:shd w:val="clear"/>
                <w:vertAlign w:val="baseline"/>
                <w:lang w:val="en-US" w:eastAsia="zh-CN"/>
              </w:rPr>
            </w:pPr>
            <w:r>
              <w:rPr>
                <w:rFonts w:hint="eastAsia" w:ascii="仿宋_GB2312" w:hAnsi="仿宋_GB2312" w:eastAsia="仿宋_GB2312" w:cs="仿宋_GB2312"/>
                <w:w w:val="100"/>
                <w:sz w:val="32"/>
                <w:szCs w:val="32"/>
                <w:shd w:val="clear"/>
                <w:vertAlign w:val="baseline"/>
                <w:lang w:val="en-US" w:eastAsia="zh-CN"/>
              </w:rPr>
              <w:t>11</w:t>
            </w:r>
          </w:p>
        </w:tc>
        <w:tc>
          <w:tcPr>
            <w:tcW w:w="1290" w:type="dxa"/>
            <w:vAlign w:val="center"/>
          </w:tcPr>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发出</w:t>
            </w:r>
          </w:p>
          <w:p>
            <w:pPr>
              <w:pStyle w:val="7"/>
              <w:jc w:val="center"/>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份数</w:t>
            </w:r>
          </w:p>
        </w:tc>
        <w:tc>
          <w:tcPr>
            <w:tcW w:w="2716" w:type="dxa"/>
            <w:vAlign w:val="center"/>
          </w:tcPr>
          <w:p>
            <w:pPr>
              <w:pStyle w:val="7"/>
              <w:jc w:val="center"/>
              <w:rPr>
                <w:rFonts w:hint="default" w:ascii="仿宋_GB2312" w:hAnsi="仿宋_GB2312" w:eastAsia="仿宋_GB2312" w:cs="仿宋_GB2312"/>
                <w:w w:val="100"/>
                <w:sz w:val="32"/>
                <w:szCs w:val="32"/>
                <w:shd w:val="clear"/>
                <w:vertAlign w:val="baseline"/>
                <w:lang w:val="en-US" w:eastAsia="zh-CN"/>
              </w:rPr>
            </w:pPr>
            <w:r>
              <w:rPr>
                <w:rFonts w:hint="eastAsia" w:ascii="仿宋_GB2312" w:hAnsi="仿宋_GB2312" w:eastAsia="仿宋_GB2312" w:cs="仿宋_GB2312"/>
                <w:w w:val="100"/>
                <w:sz w:val="32"/>
                <w:szCs w:val="32"/>
                <w:shd w:val="clear"/>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439" w:type="dxa"/>
            <w:gridSpan w:val="2"/>
          </w:tcPr>
          <w:p>
            <w:pPr>
              <w:pStyle w:val="7"/>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拟稿人：聂亚琼</w:t>
            </w:r>
          </w:p>
        </w:tc>
        <w:tc>
          <w:tcPr>
            <w:tcW w:w="4006" w:type="dxa"/>
            <w:gridSpan w:val="2"/>
          </w:tcPr>
          <w:p>
            <w:pPr>
              <w:pStyle w:val="7"/>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审核人：杜永安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4439" w:type="dxa"/>
            <w:gridSpan w:val="2"/>
          </w:tcPr>
          <w:p>
            <w:pPr>
              <w:pStyle w:val="7"/>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分管领导核签：</w:t>
            </w:r>
          </w:p>
        </w:tc>
        <w:tc>
          <w:tcPr>
            <w:tcW w:w="4006" w:type="dxa"/>
            <w:gridSpan w:val="2"/>
          </w:tcPr>
          <w:p>
            <w:pPr>
              <w:pStyle w:val="7"/>
              <w:rPr>
                <w:rFonts w:hint="eastAsia" w:ascii="仿宋_GB2312" w:hAnsi="仿宋_GB2312" w:eastAsia="仿宋_GB2312" w:cs="仿宋_GB2312"/>
                <w:w w:val="100"/>
                <w:sz w:val="32"/>
                <w:szCs w:val="32"/>
                <w:shd w:val="clear"/>
                <w:vertAlign w:val="baseline"/>
                <w:lang w:eastAsia="zh-CN"/>
              </w:rPr>
            </w:pPr>
            <w:r>
              <w:rPr>
                <w:rFonts w:hint="eastAsia" w:ascii="仿宋_GB2312" w:hAnsi="仿宋_GB2312" w:eastAsia="仿宋_GB2312" w:cs="仿宋_GB2312"/>
                <w:w w:val="100"/>
                <w:sz w:val="32"/>
                <w:szCs w:val="32"/>
                <w:shd w:val="clear"/>
                <w:vertAlign w:val="baseline"/>
                <w:lang w:eastAsia="zh-CN"/>
              </w:rPr>
              <w:t>签发人意见：</w:t>
            </w:r>
          </w:p>
        </w:tc>
      </w:tr>
    </w:tbl>
    <w:p>
      <w:pPr>
        <w:spacing w:line="560" w:lineRule="exact"/>
        <w:ind w:firstLine="880" w:firstLineChars="200"/>
        <w:jc w:val="center"/>
        <w:rPr>
          <w:rFonts w:hint="eastAsia" w:ascii="方正小标宋简体" w:eastAsia="方正小标宋简体"/>
          <w:sz w:val="44"/>
          <w:szCs w:val="44"/>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0"/>
        <w:jc w:val="both"/>
        <w:rPr>
          <w:rFonts w:hint="eastAsia" w:ascii="楷体_GB2312" w:hAnsi="楷体_GB2312" w:eastAsia="楷体_GB2312" w:cs="楷体_GB2312"/>
          <w:color w:val="auto"/>
          <w:position w:val="0"/>
          <w:sz w:val="32"/>
          <w:szCs w:val="32"/>
          <w:lang w:val="en-US" w:eastAsia="zh-CN"/>
        </w:rPr>
      </w:pPr>
      <w:r>
        <w:rPr>
          <w:rFonts w:hint="default" w:ascii="仿宋_GB2312" w:hAnsi="仿宋_GB2312" w:eastAsia="仿宋_GB2312"/>
          <w:color w:val="auto"/>
          <w:position w:val="0"/>
          <w:sz w:val="32"/>
          <w:szCs w:val="32"/>
        </w:rPr>
        <w:t>康</w:t>
      </w:r>
      <w:r>
        <w:rPr>
          <w:rFonts w:hint="eastAsia" w:ascii="仿宋_GB2312" w:hAnsi="仿宋_GB2312" w:eastAsia="仿宋_GB2312"/>
          <w:color w:val="auto"/>
          <w:position w:val="0"/>
          <w:sz w:val="32"/>
          <w:szCs w:val="32"/>
          <w:lang w:eastAsia="zh-CN"/>
        </w:rPr>
        <w:t>政</w:t>
      </w:r>
      <w:r>
        <w:rPr>
          <w:rFonts w:hint="default" w:ascii="仿宋_GB2312" w:hAnsi="仿宋_GB2312" w:eastAsia="仿宋_GB2312"/>
          <w:color w:val="auto"/>
          <w:position w:val="0"/>
          <w:sz w:val="32"/>
          <w:szCs w:val="32"/>
        </w:rPr>
        <w:t>发</w:t>
      </w:r>
      <w:r>
        <w:rPr>
          <w:rFonts w:hint="eastAsia" w:ascii="仿宋_GB2312" w:hAnsi="仿宋_GB2312" w:eastAsia="仿宋_GB2312" w:cs="Times New Roman"/>
          <w:color w:val="000000"/>
          <w:w w:val="100"/>
          <w:kern w:val="2"/>
          <w:sz w:val="32"/>
          <w:szCs w:val="24"/>
          <w:shd w:val="clear"/>
          <w:lang w:val="en-US" w:eastAsia="zh-CN" w:bidi="ar-SA"/>
        </w:rPr>
        <w:t>〔2021〕</w:t>
      </w:r>
      <w:r>
        <w:rPr>
          <w:rFonts w:hint="eastAsia" w:ascii="仿宋_GB2312" w:hAnsi="仿宋_GB2312" w:eastAsia="仿宋_GB2312"/>
          <w:color w:val="auto"/>
          <w:position w:val="0"/>
          <w:sz w:val="32"/>
          <w:szCs w:val="32"/>
          <w:lang w:val="en-US" w:eastAsia="zh-CN"/>
        </w:rPr>
        <w:t>10</w:t>
      </w:r>
      <w:r>
        <w:rPr>
          <w:rFonts w:hint="default" w:ascii="仿宋_GB2312" w:hAnsi="仿宋_GB2312" w:eastAsia="仿宋_GB2312"/>
          <w:color w:val="auto"/>
          <w:position w:val="0"/>
          <w:sz w:val="32"/>
          <w:szCs w:val="32"/>
        </w:rPr>
        <w:t xml:space="preserve">号     </w:t>
      </w:r>
      <w:r>
        <w:rPr>
          <w:rFonts w:hint="eastAsia" w:ascii="仿宋_GB2312" w:hAnsi="仿宋_GB2312" w:eastAsia="仿宋_GB2312"/>
          <w:color w:val="auto"/>
          <w:position w:val="0"/>
          <w:sz w:val="32"/>
          <w:szCs w:val="32"/>
          <w:lang w:val="en-US" w:eastAsia="zh-CN"/>
        </w:rPr>
        <w:t xml:space="preserve"> </w:t>
      </w:r>
      <w:r>
        <w:rPr>
          <w:rFonts w:hint="default" w:ascii="仿宋_GB2312" w:hAnsi="仿宋_GB2312" w:eastAsia="仿宋_GB2312"/>
          <w:color w:val="auto"/>
          <w:position w:val="0"/>
          <w:sz w:val="32"/>
          <w:szCs w:val="32"/>
        </w:rPr>
        <w:t xml:space="preserve">              签发人：</w:t>
      </w:r>
      <w:r>
        <w:rPr>
          <w:rFonts w:hint="eastAsia" w:ascii="楷体_GB2312" w:hAnsi="楷体_GB2312" w:eastAsia="楷体_GB2312" w:cs="楷体_GB2312"/>
          <w:color w:val="auto"/>
          <w:position w:val="0"/>
          <w:sz w:val="32"/>
          <w:szCs w:val="32"/>
          <w:lang w:eastAsia="zh-CN"/>
        </w:rPr>
        <w:t>党春梅</w:t>
      </w:r>
    </w:p>
    <w:p>
      <w:pPr>
        <w:numPr>
          <w:ilvl w:val="0"/>
          <w:numId w:val="0"/>
        </w:numPr>
        <w:wordWrap w:val="0"/>
        <w:spacing w:before="0" w:after="0" w:line="311" w:lineRule="auto"/>
        <w:ind w:right="0" w:firstLine="0"/>
        <w:jc w:val="both"/>
        <w:rPr>
          <w:rFonts w:hint="default" w:ascii="仿宋_GB2312" w:hAnsi="仿宋_GB2312" w:eastAsia="仿宋_GB2312"/>
          <w:color w:val="auto"/>
          <w:position w:val="0"/>
          <w:sz w:val="32"/>
          <w:szCs w:val="32"/>
        </w:rPr>
      </w:pPr>
    </w:p>
    <w:p>
      <w:pPr>
        <w:keepNext w:val="0"/>
        <w:keepLines w:val="0"/>
        <w:pageBreakBefore w:val="0"/>
        <w:widowControl/>
        <w:numPr>
          <w:ilvl w:val="0"/>
          <w:numId w:val="0"/>
        </w:numPr>
        <w:kinsoku/>
        <w:wordWrap w:val="0"/>
        <w:overflowPunct/>
        <w:topLinePunct w:val="0"/>
        <w:autoSpaceDE/>
        <w:autoSpaceDN/>
        <w:bidi w:val="0"/>
        <w:adjustRightInd/>
        <w:snapToGrid/>
        <w:spacing w:before="0" w:after="0" w:line="540" w:lineRule="exact"/>
        <w:ind w:right="0" w:firstLine="0"/>
        <w:jc w:val="center"/>
        <w:textAlignment w:val="auto"/>
        <w:rPr>
          <w:rFonts w:hint="default" w:ascii="华文中宋" w:hAnsi="华文中宋" w:eastAsia="华文中宋"/>
          <w:color w:val="auto"/>
          <w:position w:val="0"/>
          <w:sz w:val="44"/>
          <w:szCs w:val="44"/>
        </w:rPr>
      </w:pPr>
      <w:r>
        <w:rPr>
          <w:rFonts w:hint="default" w:ascii="华文中宋" w:hAnsi="华文中宋" w:eastAsia="华文中宋"/>
          <w:color w:val="auto"/>
          <w:position w:val="0"/>
          <w:sz w:val="44"/>
          <w:szCs w:val="44"/>
        </w:rPr>
        <w:t>肃南裕固族自治县康乐镇人民政府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eastAsia="zh-CN"/>
        </w:rPr>
      </w:pPr>
      <w:r>
        <w:rPr>
          <w:rFonts w:hint="eastAsia" w:ascii="华文中宋" w:hAnsi="华文中宋" w:eastAsia="华文中宋" w:cs="华文中宋"/>
          <w:sz w:val="44"/>
          <w:szCs w:val="44"/>
          <w:lang w:eastAsia="zh-CN"/>
        </w:rPr>
        <w:t>整体支出</w:t>
      </w:r>
      <w:r>
        <w:rPr>
          <w:rFonts w:hint="eastAsia" w:ascii="华文中宋" w:hAnsi="华文中宋" w:eastAsia="华文中宋" w:cs="华文中宋"/>
          <w:sz w:val="44"/>
          <w:szCs w:val="44"/>
        </w:rPr>
        <w:t>绩效自评</w:t>
      </w:r>
      <w:bookmarkStart w:id="0" w:name="_Toc457250235"/>
      <w:bookmarkStart w:id="1" w:name="_Toc431307085"/>
      <w:r>
        <w:rPr>
          <w:rFonts w:hint="eastAsia" w:ascii="华文中宋" w:hAnsi="华文中宋" w:eastAsia="华文中宋" w:cs="华文中宋"/>
          <w:sz w:val="44"/>
          <w:szCs w:val="44"/>
          <w:lang w:eastAsia="zh-CN"/>
        </w:rPr>
        <w:t>报告</w:t>
      </w:r>
    </w:p>
    <w:p>
      <w:pPr>
        <w:spacing w:line="560" w:lineRule="exact"/>
        <w:ind w:firstLine="640" w:firstLineChars="200"/>
        <w:jc w:val="left"/>
        <w:rPr>
          <w:rFonts w:hint="eastAsia" w:ascii="仿宋_GB2312" w:eastAsia="仿宋_GB2312" w:cs="仿宋"/>
          <w:sz w:val="32"/>
          <w:szCs w:val="32"/>
          <w:lang w:val="zh-CN"/>
        </w:rPr>
      </w:pPr>
    </w:p>
    <w:p>
      <w:pPr>
        <w:keepNext w:val="0"/>
        <w:keepLines w:val="0"/>
        <w:pageBreakBefore w:val="0"/>
        <w:kinsoku/>
        <w:wordWrap/>
        <w:overflowPunct/>
        <w:topLinePunct w:val="0"/>
        <w:autoSpaceDE/>
        <w:autoSpaceDN/>
        <w:bidi w:val="0"/>
        <w:spacing w:line="560" w:lineRule="exact"/>
        <w:ind w:left="0" w:leftChars="0" w:firstLine="640" w:firstLineChars="200"/>
        <w:jc w:val="both"/>
        <w:rPr>
          <w:rFonts w:ascii="仿宋_GB2312" w:hAnsi="仿宋_GB2312" w:eastAsia="仿宋_GB2312" w:cs="仿宋_GB2312"/>
          <w:sz w:val="32"/>
          <w:szCs w:val="32"/>
        </w:rPr>
      </w:pPr>
      <w:r>
        <w:rPr>
          <w:rFonts w:hint="eastAsia" w:ascii="仿宋_GB2312" w:eastAsia="仿宋_GB2312" w:cs="仿宋"/>
          <w:sz w:val="32"/>
          <w:szCs w:val="32"/>
          <w:lang w:val="zh-CN"/>
        </w:rPr>
        <w:t>根据《关于印发肃南县全面实施预算绩效管理实施意见的通知》（县委发〔2019〕24号）和《关于贯彻落实&lt;肃南县全面实施预算绩效管理实施意见&gt;有关事宜的通知》（肃财发〔2019〕211号）文件要求，</w:t>
      </w:r>
      <w:r>
        <w:rPr>
          <w:rFonts w:ascii="仿宋" w:hAnsi="仿宋" w:eastAsia="仿宋" w:cs="仿宋"/>
          <w:i w:val="0"/>
          <w:caps w:val="0"/>
          <w:color w:val="000000"/>
          <w:spacing w:val="0"/>
          <w:sz w:val="32"/>
          <w:szCs w:val="32"/>
          <w:shd w:val="clear" w:fill="FFFFFF"/>
        </w:rPr>
        <w:t>我</w:t>
      </w:r>
      <w:r>
        <w:rPr>
          <w:rFonts w:hint="eastAsia" w:ascii="仿宋" w:hAnsi="仿宋" w:eastAsia="仿宋" w:cs="仿宋"/>
          <w:i w:val="0"/>
          <w:caps w:val="0"/>
          <w:color w:val="000000"/>
          <w:spacing w:val="0"/>
          <w:sz w:val="32"/>
          <w:szCs w:val="32"/>
          <w:shd w:val="clear" w:fill="FFFFFF"/>
          <w:lang w:eastAsia="zh-CN"/>
        </w:rPr>
        <w:t>镇</w:t>
      </w:r>
      <w:r>
        <w:rPr>
          <w:rFonts w:ascii="仿宋" w:hAnsi="仿宋" w:eastAsia="仿宋" w:cs="仿宋"/>
          <w:i w:val="0"/>
          <w:caps w:val="0"/>
          <w:color w:val="000000"/>
          <w:spacing w:val="0"/>
          <w:sz w:val="32"/>
          <w:szCs w:val="32"/>
          <w:shd w:val="clear" w:fill="FFFFFF"/>
        </w:rPr>
        <w:t>对</w:t>
      </w:r>
      <w:r>
        <w:rPr>
          <w:rFonts w:hint="eastAsia" w:ascii="仿宋" w:hAnsi="仿宋" w:eastAsia="仿宋" w:cs="仿宋"/>
          <w:i w:val="0"/>
          <w:caps w:val="0"/>
          <w:color w:val="000000"/>
          <w:spacing w:val="0"/>
          <w:sz w:val="32"/>
          <w:szCs w:val="32"/>
          <w:shd w:val="clear" w:fill="FFFFFF"/>
        </w:rPr>
        <w:t>20</w:t>
      </w:r>
      <w:r>
        <w:rPr>
          <w:rFonts w:hint="eastAsia" w:ascii="仿宋" w:hAnsi="仿宋" w:eastAsia="仿宋" w:cs="仿宋"/>
          <w:i w:val="0"/>
          <w:caps w:val="0"/>
          <w:color w:val="000000"/>
          <w:spacing w:val="0"/>
          <w:sz w:val="32"/>
          <w:szCs w:val="32"/>
          <w:shd w:val="clear" w:fill="FFFFFF"/>
          <w:lang w:val="en-US" w:eastAsia="zh-CN"/>
        </w:rPr>
        <w:t>20</w:t>
      </w:r>
      <w:r>
        <w:rPr>
          <w:rFonts w:hint="eastAsia" w:ascii="仿宋" w:hAnsi="仿宋" w:eastAsia="仿宋" w:cs="仿宋"/>
          <w:i w:val="0"/>
          <w:caps w:val="0"/>
          <w:color w:val="000000"/>
          <w:spacing w:val="0"/>
          <w:sz w:val="32"/>
          <w:szCs w:val="32"/>
          <w:shd w:val="clear" w:fill="FFFFFF"/>
        </w:rPr>
        <w:t>年部门整体支出绩效情况进行了全面综合评价。现将部门整体支出绩效自评情况报告如下</w:t>
      </w:r>
      <w:r>
        <w:rPr>
          <w:rFonts w:hint="eastAsia" w:ascii="仿宋_GB2312" w:hAnsi="仿宋_GB2312" w:eastAsia="仿宋_GB2312" w:cs="仿宋_GB2312"/>
          <w:sz w:val="32"/>
          <w:szCs w:val="32"/>
        </w:rPr>
        <w:t>：</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基本情况</w:t>
      </w:r>
      <w:bookmarkEnd w:id="0"/>
      <w:bookmarkEnd w:id="1"/>
    </w:p>
    <w:p>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（一）部门主要职能。</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jc w:val="both"/>
        <w:textAlignment w:val="auto"/>
        <w:rPr>
          <w:rFonts w:ascii="仿宋_GB2312" w:hAnsi="宋体" w:eastAsia="仿宋_GB2312" w:cs="宋体"/>
          <w:b/>
          <w:color w:val="000000"/>
          <w:sz w:val="32"/>
          <w:szCs w:val="32"/>
        </w:rPr>
      </w:pPr>
      <w:r>
        <w:rPr>
          <w:rFonts w:hint="eastAsia" w:ascii="仿宋" w:hAnsi="仿宋" w:eastAsia="仿宋" w:cs="Times New Roman"/>
          <w:sz w:val="32"/>
          <w:szCs w:val="32"/>
          <w:lang w:eastAsia="zh-CN"/>
        </w:rPr>
        <w:t>康乐镇人民政府</w:t>
      </w:r>
      <w:r>
        <w:rPr>
          <w:rFonts w:hint="eastAsia" w:ascii="仿宋_GB2312" w:hAnsi="仿宋_GB2312" w:eastAsia="仿宋_GB2312" w:cs="仿宋_GB2312"/>
          <w:color w:val="000000"/>
          <w:sz w:val="32"/>
          <w:szCs w:val="32"/>
        </w:rPr>
        <w:t>正科级建制，隶属</w:t>
      </w:r>
      <w:r>
        <w:rPr>
          <w:rFonts w:hint="eastAsia" w:ascii="仿宋_GB2312" w:hAnsi="仿宋_GB2312" w:eastAsia="仿宋_GB2312" w:cs="仿宋_GB2312"/>
          <w:color w:val="000000"/>
          <w:sz w:val="32"/>
          <w:szCs w:val="32"/>
          <w:lang w:eastAsia="zh-CN"/>
        </w:rPr>
        <w:t>县委、县政府</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w:t>
      </w:r>
      <w:r>
        <w:rPr>
          <w:rFonts w:hint="eastAsia" w:ascii="Times New Roman" w:hAnsi="Times New Roman" w:eastAsia="宋体" w:cs="Times New Roman"/>
          <w:color w:val="000000"/>
          <w:kern w:val="0"/>
          <w:szCs w:val="20"/>
          <w:u w:color="000000"/>
        </w:rPr>
        <w:t xml:space="preserve"> </w:t>
      </w:r>
      <w:r>
        <w:rPr>
          <w:rFonts w:hint="eastAsia" w:ascii="仿宋" w:hAnsi="仿宋" w:eastAsia="仿宋" w:cs="Times New Roman"/>
          <w:sz w:val="32"/>
          <w:szCs w:val="32"/>
        </w:rPr>
        <w:t>职责范围</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highlight w:val="none"/>
        </w:rPr>
        <w:t>宣传和贯彻执行党的路线方针政策和法律法规；制定地方经济社会发展规划和年度计划并组织实施；坚持依法行政，推进民主政治，加强基层政权建设；做好</w:t>
      </w:r>
      <w:r>
        <w:rPr>
          <w:rFonts w:hint="eastAsia" w:ascii="仿宋_GB2312" w:hAnsi="仿宋_GB2312" w:eastAsia="仿宋_GB2312" w:cs="仿宋_GB2312"/>
          <w:color w:val="000000"/>
          <w:sz w:val="32"/>
          <w:szCs w:val="32"/>
          <w:highlight w:val="none"/>
          <w:lang w:val="en-US" w:eastAsia="zh-CN"/>
        </w:rPr>
        <w:t>民生保障、社会治理、为民服务</w:t>
      </w:r>
      <w:r>
        <w:rPr>
          <w:rFonts w:hint="eastAsia" w:ascii="仿宋_GB2312" w:hAnsi="仿宋_GB2312" w:eastAsia="仿宋_GB2312" w:cs="仿宋_GB2312"/>
          <w:color w:val="000000"/>
          <w:sz w:val="32"/>
          <w:szCs w:val="32"/>
          <w:highlight w:val="none"/>
        </w:rPr>
        <w:t>和社区工作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二是</w:t>
      </w:r>
      <w:r>
        <w:rPr>
          <w:rFonts w:hint="eastAsia" w:ascii="仿宋_GB2312" w:hAnsi="仿宋_GB2312" w:eastAsia="仿宋_GB2312" w:cs="仿宋_GB2312"/>
          <w:color w:val="000000"/>
          <w:sz w:val="32"/>
          <w:szCs w:val="32"/>
          <w:highlight w:val="none"/>
        </w:rPr>
        <w:t>加强</w:t>
      </w:r>
      <w:r>
        <w:rPr>
          <w:rFonts w:hint="eastAsia" w:ascii="仿宋_GB2312" w:hAnsi="仿宋_GB2312" w:eastAsia="仿宋_GB2312" w:cs="仿宋_GB2312"/>
          <w:color w:val="000000"/>
          <w:sz w:val="32"/>
          <w:szCs w:val="32"/>
          <w:highlight w:val="none"/>
          <w:lang w:eastAsia="zh-CN"/>
        </w:rPr>
        <w:t>干部</w:t>
      </w:r>
      <w:r>
        <w:rPr>
          <w:rFonts w:hint="eastAsia" w:ascii="仿宋_GB2312" w:hAnsi="仿宋_GB2312" w:eastAsia="仿宋_GB2312" w:cs="仿宋_GB2312"/>
          <w:color w:val="000000"/>
          <w:sz w:val="32"/>
          <w:szCs w:val="32"/>
          <w:highlight w:val="none"/>
        </w:rPr>
        <w:t>队伍思想建设、组织建设、作风建设、制度建设和党风廉政建设</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改善</w:t>
      </w:r>
      <w:r>
        <w:rPr>
          <w:rFonts w:hint="eastAsia" w:ascii="仿宋_GB2312" w:hAnsi="仿宋_GB2312" w:eastAsia="仿宋_GB2312" w:cs="仿宋_GB2312"/>
          <w:color w:val="000000"/>
          <w:sz w:val="32"/>
          <w:szCs w:val="32"/>
          <w:highlight w:val="none"/>
          <w:lang w:eastAsia="zh-CN"/>
        </w:rPr>
        <w:t>干部</w:t>
      </w:r>
      <w:r>
        <w:rPr>
          <w:rFonts w:hint="eastAsia" w:ascii="仿宋_GB2312" w:hAnsi="仿宋_GB2312" w:eastAsia="仿宋_GB2312" w:cs="仿宋_GB2312"/>
          <w:color w:val="000000"/>
          <w:sz w:val="32"/>
          <w:szCs w:val="32"/>
          <w:highlight w:val="none"/>
        </w:rPr>
        <w:t>队伍结构，提高</w:t>
      </w:r>
      <w:r>
        <w:rPr>
          <w:rFonts w:hint="eastAsia" w:ascii="仿宋_GB2312" w:hAnsi="仿宋_GB2312" w:eastAsia="仿宋_GB2312" w:cs="仿宋_GB2312"/>
          <w:color w:val="000000"/>
          <w:sz w:val="32"/>
          <w:szCs w:val="32"/>
          <w:highlight w:val="none"/>
          <w:lang w:eastAsia="zh-CN"/>
        </w:rPr>
        <w:t>干部</w:t>
      </w:r>
      <w:r>
        <w:rPr>
          <w:rFonts w:hint="eastAsia" w:ascii="仿宋_GB2312" w:hAnsi="仿宋_GB2312" w:eastAsia="仿宋_GB2312" w:cs="仿宋_GB2312"/>
          <w:color w:val="000000"/>
          <w:sz w:val="32"/>
          <w:szCs w:val="32"/>
          <w:highlight w:val="none"/>
        </w:rPr>
        <w:t>素质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三是</w:t>
      </w:r>
      <w:r>
        <w:rPr>
          <w:rFonts w:hint="eastAsia" w:ascii="仿宋_GB2312" w:hAnsi="仿宋_GB2312" w:eastAsia="仿宋_GB2312" w:cs="仿宋_GB2312"/>
          <w:color w:val="000000"/>
          <w:sz w:val="32"/>
          <w:szCs w:val="32"/>
          <w:highlight w:val="none"/>
        </w:rPr>
        <w:t>规范经济管理，组织指导经济发展和经济结构调整；加强综合生产能力建设；健全社会化服务体系，完善产业支持保护体系，推进产业现代化；着力提升经济发展的质量和水平，增加</w:t>
      </w:r>
      <w:r>
        <w:rPr>
          <w:rFonts w:hint="eastAsia" w:ascii="仿宋_GB2312" w:hAnsi="仿宋_GB2312" w:eastAsia="仿宋_GB2312" w:cs="仿宋_GB2312"/>
          <w:color w:val="000000"/>
          <w:sz w:val="32"/>
          <w:szCs w:val="32"/>
          <w:highlight w:val="none"/>
          <w:lang w:val="en-US" w:eastAsia="zh-CN"/>
        </w:rPr>
        <w:t>居民</w:t>
      </w:r>
      <w:r>
        <w:rPr>
          <w:rFonts w:hint="eastAsia" w:ascii="仿宋_GB2312" w:hAnsi="仿宋_GB2312" w:eastAsia="仿宋_GB2312" w:cs="仿宋_GB2312"/>
          <w:color w:val="000000"/>
          <w:sz w:val="32"/>
          <w:szCs w:val="32"/>
          <w:highlight w:val="none"/>
        </w:rPr>
        <w:t>收入，不断提高人民生活水平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四是</w:t>
      </w:r>
      <w:r>
        <w:rPr>
          <w:rFonts w:hint="eastAsia" w:ascii="仿宋_GB2312" w:hAnsi="仿宋_GB2312" w:eastAsia="仿宋_GB2312" w:cs="仿宋_GB2312"/>
          <w:color w:val="000000"/>
          <w:sz w:val="32"/>
          <w:szCs w:val="32"/>
          <w:highlight w:val="none"/>
        </w:rPr>
        <w:t>加强社会管理</w:t>
      </w:r>
      <w:r>
        <w:rPr>
          <w:rFonts w:hint="eastAsia" w:ascii="仿宋_GB2312" w:hAnsi="仿宋_GB2312" w:eastAsia="仿宋_GB2312" w:cs="仿宋_GB2312"/>
          <w:color w:val="000000"/>
          <w:sz w:val="32"/>
          <w:szCs w:val="32"/>
          <w:highlight w:val="none"/>
          <w:lang w:eastAsia="zh-CN"/>
        </w:rPr>
        <w:t>，完善</w:t>
      </w:r>
      <w:r>
        <w:rPr>
          <w:rFonts w:hint="eastAsia" w:ascii="仿宋_GB2312" w:hAnsi="仿宋_GB2312" w:eastAsia="仿宋_GB2312" w:cs="仿宋_GB2312"/>
          <w:color w:val="000000"/>
          <w:sz w:val="32"/>
          <w:szCs w:val="32"/>
          <w:highlight w:val="none"/>
        </w:rPr>
        <w:t>基础设施建设，</w:t>
      </w:r>
      <w:r>
        <w:rPr>
          <w:rFonts w:hint="eastAsia" w:ascii="仿宋_GB2312" w:hAnsi="仿宋_GB2312" w:eastAsia="仿宋_GB2312" w:cs="仿宋_GB2312"/>
          <w:color w:val="000000"/>
          <w:sz w:val="32"/>
          <w:szCs w:val="32"/>
          <w:highlight w:val="none"/>
          <w:lang w:eastAsia="zh-CN"/>
        </w:rPr>
        <w:t>改善人居</w:t>
      </w:r>
      <w:r>
        <w:rPr>
          <w:rFonts w:hint="eastAsia" w:ascii="仿宋_GB2312" w:hAnsi="仿宋_GB2312" w:eastAsia="仿宋_GB2312" w:cs="仿宋_GB2312"/>
          <w:color w:val="000000"/>
          <w:sz w:val="32"/>
          <w:szCs w:val="32"/>
          <w:highlight w:val="none"/>
        </w:rPr>
        <w:t>环境；推进政务、村务公开；</w:t>
      </w:r>
      <w:r>
        <w:rPr>
          <w:rFonts w:hint="eastAsia" w:ascii="仿宋_GB2312" w:hAnsi="仿宋_GB2312" w:eastAsia="仿宋_GB2312" w:cs="仿宋_GB2312"/>
          <w:color w:val="000000"/>
          <w:sz w:val="32"/>
          <w:szCs w:val="32"/>
          <w:highlight w:val="none"/>
          <w:lang w:eastAsia="zh-CN"/>
        </w:rPr>
        <w:t>加强民族宗教、</w:t>
      </w:r>
      <w:r>
        <w:rPr>
          <w:rFonts w:hint="eastAsia" w:ascii="仿宋_GB2312" w:hAnsi="仿宋_GB2312" w:eastAsia="仿宋_GB2312" w:cs="仿宋_GB2312"/>
          <w:color w:val="000000"/>
          <w:sz w:val="32"/>
          <w:szCs w:val="32"/>
          <w:highlight w:val="none"/>
        </w:rPr>
        <w:t>卫生健康、妇女儿童合法权益保障</w:t>
      </w:r>
      <w:r>
        <w:rPr>
          <w:rFonts w:hint="eastAsia" w:ascii="仿宋_GB2312" w:hAnsi="仿宋_GB2312" w:eastAsia="仿宋_GB2312" w:cs="仿宋_GB2312"/>
          <w:color w:val="000000"/>
          <w:sz w:val="32"/>
          <w:szCs w:val="32"/>
          <w:highlight w:val="none"/>
          <w:lang w:eastAsia="zh-CN"/>
        </w:rPr>
        <w:t>等工作</w:t>
      </w:r>
      <w:r>
        <w:rPr>
          <w:rFonts w:hint="eastAsia" w:ascii="仿宋_GB2312" w:hAnsi="仿宋_GB2312" w:eastAsia="仿宋_GB2312" w:cs="仿宋_GB2312"/>
          <w:color w:val="000000"/>
          <w:sz w:val="32"/>
          <w:szCs w:val="32"/>
          <w:highlight w:val="none"/>
        </w:rPr>
        <w:t>；加强自然资源管理、生态环境保护和修复等工作；</w:t>
      </w:r>
      <w:r>
        <w:rPr>
          <w:rFonts w:hint="eastAsia" w:ascii="仿宋_GB2312" w:hAnsi="仿宋_GB2312" w:eastAsia="仿宋_GB2312" w:cs="仿宋_GB2312"/>
          <w:color w:val="000000"/>
          <w:sz w:val="32"/>
          <w:szCs w:val="32"/>
          <w:highlight w:val="none"/>
          <w:lang w:eastAsia="zh-CN"/>
        </w:rPr>
        <w:t>保障退役军人合法权益</w:t>
      </w:r>
      <w:r>
        <w:rPr>
          <w:rFonts w:hint="eastAsia" w:ascii="仿宋_GB2312" w:hAnsi="仿宋_GB2312" w:eastAsia="仿宋_GB2312" w:cs="仿宋_GB2312"/>
          <w:color w:val="000000"/>
          <w:sz w:val="32"/>
          <w:szCs w:val="32"/>
          <w:highlight w:val="none"/>
        </w:rPr>
        <w:t>；强化安全生产和公共安全，组织抢险救灾、优抚救助，及时上报和处置重大社情、疫情、险情等，保护人民群众的生命财产安全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五是</w:t>
      </w:r>
      <w:r>
        <w:rPr>
          <w:rFonts w:hint="eastAsia" w:ascii="仿宋_GB2312" w:hAnsi="仿宋_GB2312" w:eastAsia="仿宋_GB2312" w:cs="仿宋_GB2312"/>
          <w:color w:val="000000"/>
          <w:sz w:val="32"/>
          <w:szCs w:val="32"/>
          <w:highlight w:val="none"/>
        </w:rPr>
        <w:t>发展公益事业，强化公共服务；</w:t>
      </w:r>
      <w:r>
        <w:rPr>
          <w:rFonts w:hint="eastAsia" w:ascii="仿宋_GB2312" w:hAnsi="仿宋_GB2312" w:eastAsia="仿宋_GB2312" w:cs="仿宋_GB2312"/>
          <w:color w:val="000000"/>
          <w:sz w:val="32"/>
          <w:szCs w:val="32"/>
          <w:highlight w:val="none"/>
          <w:lang w:eastAsia="zh-CN"/>
        </w:rPr>
        <w:t>加强</w:t>
      </w:r>
      <w:r>
        <w:rPr>
          <w:rFonts w:hint="eastAsia" w:ascii="仿宋_GB2312" w:hAnsi="仿宋_GB2312" w:eastAsia="仿宋_GB2312" w:cs="仿宋_GB2312"/>
          <w:color w:val="000000"/>
          <w:sz w:val="32"/>
          <w:szCs w:val="32"/>
          <w:highlight w:val="none"/>
        </w:rPr>
        <w:t>公共设施建设，开展就业和社会保障服务，着力解决群众生产生活中的问题；发展科教文卫事业，</w:t>
      </w:r>
      <w:r>
        <w:rPr>
          <w:rFonts w:hint="eastAsia" w:ascii="仿宋_GB2312" w:hAnsi="宋体" w:eastAsia="仿宋_GB2312" w:cs="仿宋_GB2312"/>
          <w:color w:val="000000"/>
          <w:sz w:val="32"/>
          <w:szCs w:val="32"/>
          <w:highlight w:val="none"/>
          <w:lang w:val="en-US" w:eastAsia="zh-CN"/>
        </w:rPr>
        <w:t>丰富农牧民群众文化生活，</w:t>
      </w:r>
      <w:r>
        <w:rPr>
          <w:rFonts w:hint="eastAsia" w:ascii="仿宋_GB2312" w:hAnsi="宋体" w:eastAsia="仿宋_GB2312" w:cs="仿宋_GB2312"/>
          <w:color w:val="000000"/>
          <w:sz w:val="32"/>
          <w:szCs w:val="32"/>
          <w:highlight w:val="none"/>
        </w:rPr>
        <w:t>促进</w:t>
      </w:r>
      <w:r>
        <w:rPr>
          <w:rFonts w:hint="eastAsia" w:ascii="仿宋_GB2312" w:hAnsi="宋体" w:eastAsia="仿宋_GB2312" w:cs="仿宋_GB2312"/>
          <w:color w:val="000000"/>
          <w:sz w:val="32"/>
          <w:szCs w:val="32"/>
          <w:highlight w:val="none"/>
          <w:lang w:val="en-US" w:eastAsia="zh-CN"/>
        </w:rPr>
        <w:t>乡风文明</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auto"/>
          <w:sz w:val="32"/>
          <w:szCs w:val="32"/>
          <w:highlight w:val="none"/>
        </w:rPr>
        <w:t>制</w:t>
      </w:r>
      <w:r>
        <w:rPr>
          <w:rFonts w:hint="eastAsia" w:ascii="仿宋_GB2312" w:hAnsi="仿宋_GB2312" w:eastAsia="仿宋_GB2312" w:cs="仿宋_GB2312"/>
          <w:color w:val="auto"/>
          <w:sz w:val="32"/>
          <w:szCs w:val="32"/>
          <w:highlight w:val="none"/>
          <w:lang w:eastAsia="zh-CN"/>
        </w:rPr>
        <w:t>定</w:t>
      </w:r>
      <w:r>
        <w:rPr>
          <w:rFonts w:hint="eastAsia" w:ascii="仿宋_GB2312" w:hAnsi="仿宋_GB2312" w:eastAsia="仿宋_GB2312" w:cs="仿宋_GB2312"/>
          <w:color w:val="000000"/>
          <w:sz w:val="32"/>
          <w:szCs w:val="32"/>
          <w:highlight w:val="none"/>
        </w:rPr>
        <w:t>公共服务事项目录清单，加强公共服务体系建设</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六是</w:t>
      </w:r>
      <w:r>
        <w:rPr>
          <w:rFonts w:hint="eastAsia" w:ascii="仿宋_GB2312" w:hAnsi="仿宋_GB2312" w:eastAsia="仿宋_GB2312" w:cs="仿宋_GB2312"/>
          <w:color w:val="000000"/>
          <w:sz w:val="32"/>
          <w:szCs w:val="32"/>
          <w:highlight w:val="none"/>
        </w:rPr>
        <w:t>加强综合治理，</w:t>
      </w:r>
      <w:r>
        <w:rPr>
          <w:rFonts w:hint="eastAsia" w:ascii="仿宋_GB2312" w:hAnsi="仿宋_GB2312" w:eastAsia="仿宋_GB2312" w:cs="仿宋_GB2312"/>
          <w:color w:val="000000"/>
          <w:sz w:val="32"/>
          <w:szCs w:val="32"/>
          <w:highlight w:val="none"/>
          <w:lang w:eastAsia="zh-CN"/>
        </w:rPr>
        <w:t>维</w:t>
      </w:r>
      <w:r>
        <w:rPr>
          <w:rFonts w:hint="eastAsia" w:ascii="仿宋_GB2312" w:hAnsi="仿宋_GB2312" w:eastAsia="仿宋_GB2312" w:cs="仿宋_GB2312"/>
          <w:color w:val="000000"/>
          <w:sz w:val="32"/>
          <w:szCs w:val="32"/>
          <w:highlight w:val="none"/>
        </w:rPr>
        <w:t>护社会稳定；</w:t>
      </w:r>
      <w:r>
        <w:rPr>
          <w:rFonts w:hint="eastAsia" w:ascii="仿宋_GB2312" w:hAnsi="仿宋_GB2312" w:eastAsia="仿宋_GB2312" w:cs="仿宋_GB2312"/>
          <w:color w:val="000000"/>
          <w:sz w:val="32"/>
          <w:szCs w:val="32"/>
          <w:highlight w:val="none"/>
          <w:lang w:eastAsia="zh-CN"/>
        </w:rPr>
        <w:t>强化民主法制宣传教育，畅通诉求渠道、</w:t>
      </w:r>
      <w:r>
        <w:rPr>
          <w:rFonts w:hint="eastAsia" w:ascii="仿宋_GB2312" w:hAnsi="仿宋_GB2312" w:eastAsia="仿宋_GB2312" w:cs="仿宋_GB2312"/>
          <w:color w:val="000000"/>
          <w:sz w:val="32"/>
          <w:szCs w:val="32"/>
          <w:highlight w:val="none"/>
        </w:rPr>
        <w:t>调解民事纠纷、化解社会矛盾，处理群体性突发事件，保证社会公正，维护社会秩序和社会稳定；指导村民自治，推动基层社会建设，促进社会组织健康发展，增强社会自治功能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七是</w:t>
      </w:r>
      <w:r>
        <w:rPr>
          <w:rFonts w:hint="eastAsia" w:ascii="仿宋_GB2312" w:hAnsi="仿宋_GB2312" w:eastAsia="仿宋_GB2312" w:cs="仿宋_GB2312"/>
          <w:color w:val="000000"/>
          <w:sz w:val="32"/>
          <w:szCs w:val="32"/>
          <w:highlight w:val="none"/>
        </w:rPr>
        <w:t>按照管理权限，负责机关和事业单位工作人员的教育、培养、</w:t>
      </w:r>
      <w:r>
        <w:rPr>
          <w:rFonts w:hint="eastAsia" w:ascii="仿宋_GB2312" w:hAnsi="仿宋_GB2312" w:eastAsia="仿宋_GB2312" w:cs="仿宋_GB2312"/>
          <w:color w:val="000000"/>
          <w:sz w:val="32"/>
          <w:szCs w:val="32"/>
          <w:highlight w:val="none"/>
          <w:lang w:eastAsia="zh-CN"/>
        </w:rPr>
        <w:t>管理</w:t>
      </w:r>
      <w:r>
        <w:rPr>
          <w:rFonts w:hint="eastAsia" w:ascii="仿宋_GB2312" w:hAnsi="仿宋_GB2312" w:eastAsia="仿宋_GB2312" w:cs="仿宋_GB2312"/>
          <w:color w:val="000000"/>
          <w:sz w:val="32"/>
          <w:szCs w:val="32"/>
          <w:highlight w:val="none"/>
        </w:rPr>
        <w:t>和监督工作；协助管理好派驻单位人员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八是</w:t>
      </w:r>
      <w:r>
        <w:rPr>
          <w:rFonts w:hint="eastAsia" w:ascii="仿宋_GB2312" w:hAnsi="仿宋_GB2312" w:eastAsia="仿宋_GB2312" w:cs="仿宋_GB2312"/>
          <w:color w:val="000000"/>
          <w:spacing w:val="-6"/>
          <w:sz w:val="32"/>
          <w:szCs w:val="32"/>
          <w:highlight w:val="none"/>
        </w:rPr>
        <w:t>依法依规承担下放的经济社会管理权限和行政执法事项</w:t>
      </w:r>
      <w:r>
        <w:rPr>
          <w:rFonts w:hint="eastAsia" w:ascii="仿宋_GB2312" w:hAnsi="仿宋_GB2312" w:eastAsia="仿宋_GB2312" w:cs="仿宋_GB2312"/>
          <w:color w:val="000000"/>
          <w:spacing w:val="-6"/>
          <w:sz w:val="32"/>
          <w:szCs w:val="32"/>
          <w:highlight w:val="none"/>
          <w:lang w:eastAsia="zh-CN"/>
        </w:rPr>
        <w:t>；</w:t>
      </w:r>
      <w:r>
        <w:rPr>
          <w:rFonts w:hint="eastAsia" w:ascii="仿宋_GB2312" w:hAnsi="仿宋_GB2312" w:eastAsia="仿宋_GB2312" w:cs="仿宋_GB2312"/>
          <w:b/>
          <w:bCs/>
          <w:color w:val="000000"/>
          <w:spacing w:val="-6"/>
          <w:sz w:val="32"/>
          <w:szCs w:val="32"/>
          <w:highlight w:val="none"/>
          <w:lang w:eastAsia="zh-CN"/>
        </w:rPr>
        <w:t>九是</w:t>
      </w:r>
      <w:r>
        <w:rPr>
          <w:rFonts w:hint="eastAsia" w:ascii="仿宋_GB2312" w:hAnsi="仿宋_GB2312" w:eastAsia="仿宋_GB2312" w:cs="仿宋_GB2312"/>
          <w:color w:val="000000"/>
          <w:sz w:val="32"/>
          <w:szCs w:val="32"/>
          <w:highlight w:val="none"/>
        </w:rPr>
        <w:t>行使《中华人民共和国地方各级人民代表大会和地方各级人民政府组织法》等法律法规赋予的职权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eastAsia="zh-CN"/>
        </w:rPr>
        <w:t>十是</w:t>
      </w:r>
      <w:r>
        <w:rPr>
          <w:rFonts w:hint="eastAsia" w:ascii="仿宋_GB2312" w:hAnsi="仿宋_GB2312" w:eastAsia="仿宋_GB2312" w:cs="仿宋_GB2312"/>
          <w:color w:val="000000"/>
          <w:kern w:val="2"/>
          <w:sz w:val="32"/>
          <w:szCs w:val="32"/>
          <w:lang w:val="en-US" w:eastAsia="zh-CN" w:bidi="he-IL"/>
        </w:rPr>
        <w:t>完成县政府交办的其他工作。</w:t>
      </w:r>
    </w:p>
    <w:p>
      <w:pPr>
        <w:keepNext w:val="0"/>
        <w:keepLines w:val="0"/>
        <w:pageBreakBefore w:val="0"/>
        <w:numPr>
          <w:ilvl w:val="0"/>
          <w:numId w:val="0"/>
        </w:numPr>
        <w:kinsoku/>
        <w:wordWrap/>
        <w:overflowPunct/>
        <w:topLinePunct w:val="0"/>
        <w:autoSpaceDE/>
        <w:autoSpaceDN/>
        <w:bidi w:val="0"/>
        <w:spacing w:line="500" w:lineRule="exact"/>
        <w:ind w:left="0" w:leftChars="0" w:firstLine="643" w:firstLineChars="200"/>
        <w:jc w:val="both"/>
        <w:rPr>
          <w:rFonts w:hint="eastAsia" w:ascii="仿宋" w:hAnsi="仿宋" w:eastAsia="仿宋" w:cs="Times New Roman"/>
          <w:kern w:val="2"/>
          <w:sz w:val="32"/>
          <w:szCs w:val="32"/>
          <w:lang w:val="en-US" w:eastAsia="zh-CN" w:bidi="ar-SA"/>
        </w:rPr>
      </w:pPr>
      <w:r>
        <w:rPr>
          <w:rFonts w:hint="eastAsia" w:ascii="仿宋" w:hAnsi="仿宋" w:eastAsia="仿宋" w:cs="Times New Roman"/>
          <w:b/>
          <w:bCs/>
          <w:kern w:val="2"/>
          <w:sz w:val="32"/>
          <w:szCs w:val="32"/>
          <w:lang w:val="en-US" w:eastAsia="zh-CN" w:bidi="ar-SA"/>
        </w:rPr>
        <w:t>(二)内设机构及所属单位概况。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康乐镇</w:t>
      </w:r>
      <w:r>
        <w:rPr>
          <w:rFonts w:hint="eastAsia" w:ascii="仿宋_GB2312" w:hAnsi="仿宋_GB2312" w:eastAsia="仿宋_GB2312" w:cs="仿宋_GB2312"/>
          <w:color w:val="000000"/>
          <w:sz w:val="32"/>
          <w:szCs w:val="32"/>
          <w:lang w:eastAsia="zh-CN"/>
        </w:rPr>
        <w:t>党委、政府设下列党政机构、事业单位和派出（驻）机构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（一）党政机构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Calibri" w:eastAsia="仿宋_GB2312" w:cs="Times New Roman"/>
          <w:color w:val="000000"/>
          <w:sz w:val="32"/>
          <w:szCs w:val="32"/>
        </w:rPr>
        <w:t>设置党政机构</w:t>
      </w:r>
      <w:r>
        <w:rPr>
          <w:rFonts w:hint="eastAsia" w:ascii="仿宋_GB2312" w:hAnsi="Calibri" w:eastAsia="仿宋_GB2312" w:cs="Times New Roman"/>
          <w:color w:val="000000"/>
          <w:sz w:val="32"/>
          <w:szCs w:val="32"/>
          <w:lang w:val="en-US" w:eastAsia="zh-CN"/>
        </w:rPr>
        <w:t>5</w:t>
      </w:r>
      <w:r>
        <w:rPr>
          <w:rFonts w:hint="eastAsia" w:ascii="仿宋_GB2312" w:hAnsi="Calibri" w:eastAsia="仿宋_GB2312" w:cs="Times New Roman"/>
          <w:color w:val="000000"/>
          <w:sz w:val="32"/>
          <w:szCs w:val="32"/>
        </w:rPr>
        <w:t>个，分别是：党政综合办公室、党建工作办公室、经济发展办公室、社会事务办公室（</w:t>
      </w:r>
      <w:r>
        <w:rPr>
          <w:rFonts w:hint="eastAsia" w:ascii="仿宋_GB2312" w:hAnsi="Calibri" w:eastAsia="仿宋_GB2312" w:cs="Times New Roman"/>
          <w:color w:val="000000"/>
          <w:sz w:val="32"/>
          <w:szCs w:val="32"/>
          <w:lang w:eastAsia="zh-CN"/>
        </w:rPr>
        <w:t>加挂</w:t>
      </w:r>
      <w:r>
        <w:rPr>
          <w:rFonts w:hint="eastAsia" w:ascii="仿宋_GB2312" w:hAnsi="Calibri" w:eastAsia="仿宋_GB2312" w:cs="Times New Roman"/>
          <w:color w:val="000000"/>
          <w:sz w:val="32"/>
          <w:szCs w:val="32"/>
        </w:rPr>
        <w:t>生态环境办公室</w:t>
      </w:r>
      <w:r>
        <w:rPr>
          <w:rFonts w:hint="eastAsia" w:ascii="仿宋_GB2312" w:hAnsi="Calibri" w:eastAsia="仿宋_GB2312" w:cs="Times New Roman"/>
          <w:color w:val="000000"/>
          <w:sz w:val="32"/>
          <w:szCs w:val="32"/>
          <w:lang w:eastAsia="zh-CN"/>
        </w:rPr>
        <w:t>、卫生健康</w:t>
      </w:r>
      <w:r>
        <w:rPr>
          <w:rFonts w:hint="eastAsia" w:ascii="仿宋_GB2312" w:hAnsi="Calibri" w:eastAsia="仿宋_GB2312" w:cs="Times New Roman"/>
          <w:color w:val="000000"/>
          <w:sz w:val="32"/>
          <w:szCs w:val="32"/>
        </w:rPr>
        <w:t>办公室</w:t>
      </w:r>
      <w:r>
        <w:rPr>
          <w:rFonts w:hint="eastAsia" w:ascii="仿宋_GB2312" w:hAnsi="Calibri" w:eastAsia="仿宋_GB2312" w:cs="Times New Roman"/>
          <w:color w:val="000000"/>
          <w:sz w:val="32"/>
          <w:szCs w:val="32"/>
          <w:lang w:eastAsia="zh-CN"/>
        </w:rPr>
        <w:t>牌子</w:t>
      </w:r>
      <w:r>
        <w:rPr>
          <w:rFonts w:hint="eastAsia" w:ascii="仿宋_GB2312" w:hAnsi="Calibri" w:eastAsia="仿宋_GB2312" w:cs="Times New Roman"/>
          <w:color w:val="000000"/>
          <w:sz w:val="32"/>
          <w:szCs w:val="32"/>
        </w:rPr>
        <w:t>）、社会治理和应急管理办</w:t>
      </w:r>
      <w:r>
        <w:rPr>
          <w:rFonts w:hint="eastAsia" w:ascii="仿宋_GB2312" w:hAnsi="Calibri" w:eastAsia="仿宋_GB2312" w:cs="Times New Roman"/>
          <w:b w:val="0"/>
          <w:bCs w:val="0"/>
          <w:color w:val="000000"/>
          <w:sz w:val="32"/>
          <w:szCs w:val="32"/>
        </w:rPr>
        <w:t>公室</w:t>
      </w:r>
      <w:r>
        <w:rPr>
          <w:rFonts w:hint="eastAsia" w:ascii="仿宋_GB2312" w:hAnsi="仿宋_GB2312" w:eastAsia="仿宋_GB2312" w:cs="仿宋_GB2312"/>
          <w:b w:val="0"/>
          <w:bCs w:val="0"/>
          <w:color w:val="000000"/>
          <w:sz w:val="32"/>
          <w:szCs w:val="32"/>
          <w:lang w:val="en-US" w:eastAsia="zh-CN"/>
        </w:rPr>
        <w:t>，机构</w:t>
      </w:r>
      <w:r>
        <w:rPr>
          <w:rFonts w:hint="eastAsia" w:ascii="仿宋_GB2312" w:hAnsi="Calibri" w:eastAsia="仿宋_GB2312" w:cs="Times New Roman"/>
          <w:b w:val="0"/>
          <w:bCs w:val="0"/>
          <w:color w:val="000000"/>
          <w:sz w:val="32"/>
          <w:szCs w:val="32"/>
          <w:lang w:val="en-US" w:eastAsia="zh-CN"/>
        </w:rPr>
        <w:t>规格均为股级。</w:t>
      </w:r>
      <w:r>
        <w:rPr>
          <w:rFonts w:hint="eastAsia" w:ascii="仿宋_GB2312" w:hAnsi="Calibri" w:eastAsia="仿宋_GB2312" w:cs="Times New Roman"/>
          <w:color w:val="000000"/>
          <w:sz w:val="32"/>
          <w:szCs w:val="32"/>
          <w:lang w:val="en-US" w:eastAsia="zh-CN"/>
        </w:rPr>
        <w:t>科级干部配备不突破改革前的数额。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1.党政综合办公室：</w:t>
      </w:r>
      <w:r>
        <w:rPr>
          <w:rFonts w:hint="eastAsia" w:ascii="仿宋_GB2312" w:hAnsi="Calibri" w:eastAsia="仿宋_GB2312" w:cs="Times New Roman"/>
          <w:color w:val="000000"/>
          <w:sz w:val="32"/>
          <w:szCs w:val="32"/>
        </w:rPr>
        <w:t>负责</w:t>
      </w:r>
      <w:r>
        <w:rPr>
          <w:rFonts w:hint="eastAsia" w:ascii="仿宋_GB2312" w:hAnsi="Calibri" w:eastAsia="仿宋_GB2312" w:cs="Times New Roman"/>
          <w:color w:val="000000"/>
          <w:sz w:val="32"/>
          <w:szCs w:val="32"/>
          <w:lang w:eastAsia="zh-CN"/>
        </w:rPr>
        <w:t>镇机关</w:t>
      </w:r>
      <w:r>
        <w:rPr>
          <w:rFonts w:hint="eastAsia" w:ascii="仿宋_GB2312" w:hAnsi="Calibri" w:eastAsia="仿宋_GB2312" w:cs="Times New Roman"/>
          <w:color w:val="000000"/>
          <w:sz w:val="32"/>
          <w:szCs w:val="32"/>
        </w:rPr>
        <w:t>党的建设、政府、政协、纪检监察、宣传、统战、意识形态、精神文明、群团等工作；承担机关党建、文书档案、信息、会务、机关后勤等日常事务工作。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2.党建工作办公室：</w:t>
      </w:r>
      <w:r>
        <w:rPr>
          <w:rFonts w:hint="eastAsia" w:ascii="仿宋_GB2312" w:hAnsi="Calibri" w:eastAsia="仿宋_GB2312" w:cs="Times New Roman"/>
          <w:color w:val="000000"/>
          <w:sz w:val="32"/>
          <w:szCs w:val="32"/>
        </w:rPr>
        <w:t>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3.经济发展办公室：</w:t>
      </w:r>
      <w:r>
        <w:rPr>
          <w:rFonts w:hint="eastAsia" w:ascii="仿宋_GB2312" w:hAnsi="Calibri" w:eastAsia="仿宋_GB2312" w:cs="Times New Roman"/>
          <w:color w:val="000000"/>
          <w:sz w:val="32"/>
          <w:szCs w:val="32"/>
        </w:rPr>
        <w:t>负责制定实施农牧业、工业、第三产业</w:t>
      </w:r>
      <w:r>
        <w:rPr>
          <w:rFonts w:hint="eastAsia" w:ascii="仿宋_GB2312" w:hAnsi="Calibri" w:eastAsia="仿宋_GB2312" w:cs="Times New Roman"/>
          <w:color w:val="000000"/>
          <w:spacing w:val="-6"/>
          <w:sz w:val="32"/>
          <w:szCs w:val="32"/>
        </w:rPr>
        <w:t>发展规划，贯彻落实强农惠农政策措施，统筹产业发展布局和结构调整工作；负责申报、实施和监督</w:t>
      </w:r>
      <w:r>
        <w:rPr>
          <w:rFonts w:hint="eastAsia" w:ascii="仿宋_GB2312" w:hAnsi="Calibri" w:eastAsia="仿宋_GB2312" w:cs="Times New Roman"/>
          <w:color w:val="000000"/>
          <w:spacing w:val="-6"/>
          <w:sz w:val="32"/>
          <w:szCs w:val="32"/>
          <w:lang w:eastAsia="zh-CN"/>
        </w:rPr>
        <w:t>本镇</w:t>
      </w:r>
      <w:r>
        <w:rPr>
          <w:rFonts w:hint="eastAsia" w:ascii="仿宋_GB2312" w:hAnsi="Calibri" w:eastAsia="仿宋_GB2312" w:cs="Times New Roman"/>
          <w:color w:val="000000"/>
          <w:spacing w:val="-6"/>
          <w:sz w:val="32"/>
          <w:szCs w:val="32"/>
        </w:rPr>
        <w:t>各类建设项目；负责国民经济和社会产业综合统计等工作，协调与经济发展相关的其他工作。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4.社会事务办公室</w:t>
      </w:r>
      <w:r>
        <w:rPr>
          <w:rFonts w:hint="eastAsia" w:ascii="仿宋_GB2312" w:hAnsi="Calibri" w:eastAsia="仿宋_GB2312" w:cs="Times New Roman"/>
          <w:color w:val="000000"/>
          <w:sz w:val="32"/>
          <w:szCs w:val="32"/>
        </w:rPr>
        <w:t>：加挂生态环境办公室、卫生健康办公室牌子。负责编制与实施教育、科技、卫生健康、民政、社保、医保、民族宗教、</w:t>
      </w:r>
      <w:r>
        <w:rPr>
          <w:rFonts w:hint="eastAsia" w:ascii="仿宋_GB2312" w:hAnsi="Calibri" w:eastAsia="仿宋_GB2312" w:cs="Times New Roman"/>
          <w:color w:val="000000"/>
          <w:sz w:val="32"/>
          <w:szCs w:val="32"/>
          <w:lang w:eastAsia="zh-CN"/>
        </w:rPr>
        <w:t>文体广电和</w:t>
      </w:r>
      <w:r>
        <w:rPr>
          <w:rFonts w:hint="eastAsia" w:ascii="仿宋_GB2312" w:hAnsi="Calibri" w:eastAsia="仿宋_GB2312" w:cs="Times New Roman"/>
          <w:color w:val="000000"/>
          <w:sz w:val="32"/>
          <w:szCs w:val="32"/>
        </w:rPr>
        <w:t>旅游等社会事业发展规划；负责农牧</w:t>
      </w:r>
      <w:r>
        <w:rPr>
          <w:rFonts w:hint="eastAsia" w:ascii="仿宋_GB2312" w:hAnsi="Calibri" w:eastAsia="仿宋_GB2312" w:cs="Times New Roman"/>
          <w:color w:val="000000"/>
          <w:spacing w:val="-6"/>
          <w:sz w:val="32"/>
          <w:szCs w:val="32"/>
        </w:rPr>
        <w:t>村基层政权建设，综合协调社区事务管理；负责生态环境保护、生态环境综合整治、农牧村饮用水水源地保护及生态示范创建；负责宣传贯彻落实国家卫生健康政策，依法管理辖区内卫生健康工作。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5.社会治理和应急管理办公室：</w:t>
      </w:r>
      <w:r>
        <w:rPr>
          <w:rFonts w:hint="eastAsia" w:ascii="仿宋_GB2312" w:hAnsi="Calibri" w:eastAsia="仿宋_GB2312" w:cs="Times New Roman"/>
          <w:color w:val="000000"/>
          <w:sz w:val="32"/>
          <w:szCs w:val="32"/>
        </w:rPr>
        <w:t>负责排查化解各类矛盾纠纷，开展普法宣传和信访工作，维护农牧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eastAsia="zh-CN"/>
        </w:rPr>
        <w:t>康乐镇领导班子职数按</w:t>
      </w:r>
      <w:r>
        <w:rPr>
          <w:rFonts w:hint="eastAsia" w:ascii="仿宋_GB2312" w:hAnsi="Calibri" w:eastAsia="仿宋_GB2312" w:cs="Times New Roman"/>
          <w:color w:val="000000"/>
          <w:sz w:val="32"/>
          <w:szCs w:val="32"/>
          <w:lang w:val="en-US" w:eastAsia="zh-CN"/>
        </w:rPr>
        <w:t>9</w:t>
      </w:r>
      <w:r>
        <w:rPr>
          <w:rFonts w:hint="eastAsia" w:ascii="仿宋_GB2312" w:hAnsi="Calibri" w:eastAsia="仿宋_GB2312" w:cs="Times New Roman"/>
          <w:color w:val="000000"/>
          <w:sz w:val="32"/>
          <w:szCs w:val="32"/>
          <w:lang w:eastAsia="zh-CN"/>
        </w:rPr>
        <w:t>职设置，其中：书记1名、副书记兼镇长1名、人大主席1名，均为正科级；副书记1名、纪委书记兼监察室主任1名、副镇长</w:t>
      </w:r>
      <w:r>
        <w:rPr>
          <w:rFonts w:hint="eastAsia" w:ascii="仿宋_GB2312" w:hAnsi="Calibri" w:eastAsia="仿宋_GB2312" w:cs="Times New Roman"/>
          <w:color w:val="000000"/>
          <w:sz w:val="32"/>
          <w:szCs w:val="32"/>
          <w:lang w:val="en-US" w:eastAsia="zh-CN"/>
        </w:rPr>
        <w:t>3名、武装部长1名，均为副科级。</w:t>
      </w:r>
      <w:r>
        <w:rPr>
          <w:rFonts w:hint="eastAsia" w:ascii="仿宋_GB2312" w:hAnsi="Calibri" w:eastAsia="仿宋_GB2312" w:cs="Times New Roman"/>
          <w:color w:val="000000"/>
          <w:sz w:val="32"/>
          <w:szCs w:val="32"/>
          <w:lang w:eastAsia="zh-CN"/>
        </w:rPr>
        <w:t>康乐镇党委、政府</w:t>
      </w:r>
      <w:r>
        <w:rPr>
          <w:rFonts w:hint="eastAsia" w:ascii="仿宋_GB2312" w:hAnsi="Calibri" w:eastAsia="仿宋_GB2312" w:cs="Times New Roman"/>
          <w:color w:val="000000"/>
          <w:sz w:val="32"/>
          <w:szCs w:val="32"/>
          <w:lang w:val="en-US" w:eastAsia="zh-CN"/>
        </w:rPr>
        <w:t>核定行政编制29名，保留机关工勤编制1名。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（二）事业单位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设置事业单位5个，分别是：农业农村综合服务中心（加挂农产品质量检测服务中心、农村公路管理所牌子）、公共事务服务中心（加挂退役军人服务站、综合文化站牌子）、政务（便民）服务中心、社会治安综合治理中心、综合行政执法队，机构规格原则上为副科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Arial" w:hAnsi="Arial" w:eastAsia="仿宋_GB2312" w:cs="Arial"/>
          <w:color w:val="000000"/>
          <w:sz w:val="32"/>
          <w:szCs w:val="32"/>
        </w:rPr>
      </w:pPr>
      <w:r>
        <w:rPr>
          <w:rFonts w:hint="eastAsia" w:ascii="仿宋_GB2312" w:hAnsi="仿宋_GB2312" w:eastAsia="仿宋_GB2312" w:cs="仿宋_GB2312"/>
          <w:b/>
          <w:bCs/>
          <w:color w:val="000000"/>
          <w:sz w:val="32"/>
          <w:szCs w:val="32"/>
        </w:rPr>
        <w:t>1.农业农村综合服务中心：</w:t>
      </w:r>
      <w:r>
        <w:rPr>
          <w:rFonts w:hint="eastAsia" w:ascii="Arial" w:hAnsi="Arial" w:eastAsia="仿宋_GB2312" w:cs="Arial"/>
          <w:color w:val="000000"/>
          <w:sz w:val="32"/>
          <w:szCs w:val="32"/>
        </w:rPr>
        <w:t>加挂农产品质量检测服务中心、农村公路管理所牌子。负责农技、农机、林业、草原、水利、农牧村能源等技术服务工作，引进、试验、示范和推广农牧业新技术、新品种、新机具，开展植物资源保护和开发利用；预测、预报、防治和处置农作物、林木草原病虫害和农牧业灾害，承担农产品质量、农牧业机械安全监测服务等工作；承担农牧村“三变”、承包地、宅</w:t>
      </w:r>
      <w:r>
        <w:rPr>
          <w:rFonts w:hint="eastAsia" w:ascii="仿宋_GB2312" w:hAnsi="Calibri" w:eastAsia="仿宋_GB2312" w:cs="Times New Roman"/>
          <w:color w:val="000000"/>
          <w:sz w:val="32"/>
          <w:szCs w:val="32"/>
        </w:rPr>
        <w:t>基地等改革服务工作，参与农牧村集体产权制度改革，指导农牧民合作经济组织、农牧业社会化服务体系、新型农牧业经营主体建设与发展；承担新农村建设、乡村振兴、扶贫开发、</w:t>
      </w:r>
      <w:r>
        <w:rPr>
          <w:rFonts w:hint="eastAsia" w:ascii="仿宋_GB2312" w:hAnsi="Calibri" w:eastAsia="仿宋_GB2312" w:cs="Times New Roman"/>
          <w:color w:val="000000"/>
          <w:sz w:val="32"/>
          <w:szCs w:val="32"/>
          <w:lang w:eastAsia="zh-CN"/>
        </w:rPr>
        <w:t>乡镇</w:t>
      </w:r>
      <w:r>
        <w:rPr>
          <w:rFonts w:hint="eastAsia" w:ascii="仿宋_GB2312" w:hAnsi="Calibri" w:eastAsia="仿宋_GB2312" w:cs="Times New Roman"/>
          <w:color w:val="000000"/>
          <w:sz w:val="32"/>
          <w:szCs w:val="32"/>
        </w:rPr>
        <w:t>集镇建设、全域无垃圾集中治理等服务工作；负责农牧村劳动力技能培训、劳务输出工作；负责辖区公路及其设施建设和管护工作。</w:t>
      </w:r>
    </w:p>
    <w:p>
      <w:pPr>
        <w:keepNext w:val="0"/>
        <w:keepLines w:val="0"/>
        <w:pageBreakBefore w:val="0"/>
        <w:widowControl w:val="0"/>
        <w:kinsoku/>
        <w:wordWrap/>
        <w:overflowPunct/>
        <w:topLinePunct w:val="0"/>
        <w:autoSpaceDE/>
        <w:autoSpaceDN/>
        <w:bidi w:val="0"/>
        <w:adjustRightInd w:val="0"/>
        <w:spacing w:line="500" w:lineRule="exact"/>
        <w:ind w:left="0" w:leftChars="0" w:firstLine="596" w:firstLineChars="200"/>
        <w:jc w:val="both"/>
        <w:textAlignment w:val="baseline"/>
        <w:rPr>
          <w:rFonts w:hint="default" w:ascii="宋体" w:hAnsi="Calibri" w:eastAsia="宋体" w:cs="Times New Roman"/>
          <w:color w:val="000000"/>
          <w:spacing w:val="-11"/>
          <w:kern w:val="2"/>
          <w:sz w:val="28"/>
          <w:szCs w:val="24"/>
          <w:lang w:val="en-US" w:eastAsia="zh-CN" w:bidi="he-IL"/>
        </w:rPr>
      </w:pPr>
      <w:r>
        <w:rPr>
          <w:rFonts w:hint="eastAsia" w:ascii="仿宋_GB2312" w:hAnsi="仿宋_GB2312" w:eastAsia="仿宋_GB2312" w:cs="仿宋_GB2312"/>
          <w:color w:val="000000"/>
          <w:spacing w:val="-11"/>
          <w:kern w:val="2"/>
          <w:sz w:val="32"/>
          <w:szCs w:val="32"/>
          <w:lang w:val="en-US" w:eastAsia="zh-CN" w:bidi="he-IL"/>
        </w:rPr>
        <w:t>康乐镇农业农村综合服务中心核定事业编制</w:t>
      </w:r>
      <w:r>
        <w:rPr>
          <w:rFonts w:hint="eastAsia" w:ascii="仿宋_GB2312" w:hAnsi="仿宋_GB2312" w:eastAsia="仿宋_GB2312" w:cs="仿宋_GB2312"/>
          <w:b w:val="0"/>
          <w:bCs w:val="0"/>
          <w:color w:val="000000"/>
          <w:spacing w:val="-11"/>
          <w:kern w:val="2"/>
          <w:sz w:val="32"/>
          <w:szCs w:val="32"/>
          <w:u w:val="none"/>
          <w:lang w:val="en-US" w:eastAsia="zh-CN" w:bidi="he-IL"/>
        </w:rPr>
        <w:t>7</w:t>
      </w:r>
      <w:r>
        <w:rPr>
          <w:rFonts w:hint="eastAsia" w:ascii="仿宋_GB2312" w:hAnsi="仿宋_GB2312" w:eastAsia="仿宋_GB2312" w:cs="仿宋_GB2312"/>
          <w:color w:val="000000"/>
          <w:spacing w:val="-11"/>
          <w:kern w:val="2"/>
          <w:sz w:val="32"/>
          <w:szCs w:val="32"/>
          <w:lang w:val="en-US" w:eastAsia="zh-CN" w:bidi="he-IL"/>
        </w:rPr>
        <w:t>名，设主任1名。</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Arial" w:hAnsi="Arial" w:eastAsia="仿宋_GB2312" w:cs="Arial"/>
          <w:color w:val="000000"/>
          <w:sz w:val="32"/>
          <w:szCs w:val="32"/>
          <w:lang w:eastAsia="zh-CN"/>
        </w:rPr>
      </w:pPr>
      <w:r>
        <w:rPr>
          <w:rFonts w:hint="eastAsia" w:ascii="仿宋_GB2312" w:hAnsi="仿宋_GB2312" w:eastAsia="仿宋_GB2312" w:cs="仿宋_GB2312"/>
          <w:b/>
          <w:bCs/>
          <w:color w:val="000000"/>
          <w:sz w:val="32"/>
          <w:szCs w:val="32"/>
        </w:rPr>
        <w:t>2.公共事务服务中心：</w:t>
      </w:r>
      <w:r>
        <w:rPr>
          <w:rFonts w:hint="eastAsia" w:ascii="Arial" w:hAnsi="Arial" w:eastAsia="仿宋_GB2312" w:cs="Arial"/>
          <w:color w:val="000000"/>
          <w:sz w:val="32"/>
          <w:szCs w:val="32"/>
        </w:rPr>
        <w:t>加挂退役军人服务站、综合文化站牌子。负责退役军人事务政策宣传</w:t>
      </w:r>
      <w:r>
        <w:rPr>
          <w:rFonts w:hint="eastAsia" w:ascii="Arial" w:hAnsi="Arial" w:eastAsia="仿宋_GB2312" w:cs="Arial"/>
          <w:color w:val="000000"/>
          <w:sz w:val="32"/>
          <w:szCs w:val="32"/>
          <w:lang w:eastAsia="zh-CN"/>
        </w:rPr>
        <w:t>、</w:t>
      </w:r>
      <w:r>
        <w:rPr>
          <w:rFonts w:hint="eastAsia" w:ascii="Arial" w:hAnsi="Arial" w:eastAsia="仿宋_GB2312" w:cs="Arial"/>
          <w:color w:val="000000"/>
          <w:sz w:val="32"/>
          <w:szCs w:val="32"/>
        </w:rPr>
        <w:t>教育培训、服务</w:t>
      </w:r>
      <w:r>
        <w:rPr>
          <w:rFonts w:hint="eastAsia" w:ascii="Arial" w:hAnsi="Arial" w:eastAsia="仿宋_GB2312" w:cs="Arial"/>
          <w:color w:val="000000"/>
          <w:sz w:val="32"/>
          <w:szCs w:val="32"/>
          <w:lang w:eastAsia="zh-CN"/>
        </w:rPr>
        <w:t>、</w:t>
      </w:r>
      <w:r>
        <w:rPr>
          <w:rFonts w:hint="eastAsia" w:ascii="Arial" w:hAnsi="Arial" w:eastAsia="仿宋_GB2312" w:cs="Arial"/>
          <w:color w:val="000000"/>
          <w:sz w:val="32"/>
          <w:szCs w:val="32"/>
        </w:rPr>
        <w:t>住房、医疗保障、社会保险综合服务，退役军人和随军家属就业创业服务等工作；负责文化市场培育、“农家书屋”等农牧村文化建设，负责文物保护、群众性文化体育活动和旅游服务工作</w:t>
      </w:r>
      <w:r>
        <w:rPr>
          <w:rFonts w:hint="eastAsia" w:ascii="Arial" w:hAnsi="Arial" w:eastAsia="仿宋_GB2312" w:cs="Arial"/>
          <w:color w:val="000000"/>
          <w:sz w:val="32"/>
          <w:szCs w:val="32"/>
          <w:lang w:eastAsia="zh-CN"/>
        </w:rPr>
        <w:t>；</w:t>
      </w:r>
      <w:r>
        <w:rPr>
          <w:rFonts w:hint="eastAsia" w:ascii="Arial" w:hAnsi="Arial" w:eastAsia="仿宋_GB2312" w:cs="Arial"/>
          <w:color w:val="000000"/>
          <w:sz w:val="32"/>
          <w:szCs w:val="32"/>
        </w:rPr>
        <w:t>负责卫生健康、计划生育、优生优育、健康教育、老龄事业等指导服务工作。</w:t>
      </w:r>
    </w:p>
    <w:p>
      <w:pPr>
        <w:keepNext w:val="0"/>
        <w:keepLines w:val="0"/>
        <w:pageBreakBefore w:val="0"/>
        <w:widowControl w:val="0"/>
        <w:kinsoku/>
        <w:wordWrap/>
        <w:overflowPunct/>
        <w:topLinePunct w:val="0"/>
        <w:autoSpaceDE/>
        <w:autoSpaceDN/>
        <w:bidi w:val="0"/>
        <w:adjustRightInd w:val="0"/>
        <w:spacing w:line="500" w:lineRule="exact"/>
        <w:ind w:left="0" w:leftChars="0" w:firstLine="640" w:firstLineChars="200"/>
        <w:jc w:val="both"/>
        <w:textAlignment w:val="baseline"/>
        <w:rPr>
          <w:rFonts w:hint="eastAsia" w:ascii="Arial" w:hAnsi="Arial" w:eastAsia="仿宋_GB2312" w:cs="Arial"/>
          <w:color w:val="000000"/>
          <w:kern w:val="2"/>
          <w:sz w:val="32"/>
          <w:szCs w:val="32"/>
          <w:lang w:val="en-US" w:eastAsia="zh-CN" w:bidi="he-IL"/>
        </w:rPr>
      </w:pPr>
      <w:r>
        <w:rPr>
          <w:rFonts w:hint="eastAsia" w:ascii="Arial" w:hAnsi="Arial" w:eastAsia="仿宋_GB2312" w:cs="Arial"/>
          <w:color w:val="000000"/>
          <w:kern w:val="2"/>
          <w:sz w:val="32"/>
          <w:szCs w:val="32"/>
          <w:lang w:val="en-US" w:eastAsia="zh-CN" w:bidi="he-IL"/>
        </w:rPr>
        <w:t>康乐镇公共事务服务中心核定事业编制</w:t>
      </w:r>
      <w:r>
        <w:rPr>
          <w:rFonts w:hint="eastAsia" w:ascii="仿宋_GB2312" w:hAnsi="仿宋_GB2312" w:eastAsia="仿宋_GB2312" w:cs="仿宋_GB2312"/>
          <w:b w:val="0"/>
          <w:bCs w:val="0"/>
          <w:color w:val="000000"/>
          <w:kern w:val="2"/>
          <w:sz w:val="32"/>
          <w:szCs w:val="32"/>
          <w:u w:val="none"/>
          <w:lang w:val="en-US" w:eastAsia="zh-CN" w:bidi="he-IL"/>
        </w:rPr>
        <w:t>8</w:t>
      </w:r>
      <w:r>
        <w:rPr>
          <w:rFonts w:hint="eastAsia" w:ascii="Arial" w:hAnsi="Arial" w:eastAsia="仿宋_GB2312" w:cs="Arial"/>
          <w:color w:val="000000"/>
          <w:kern w:val="2"/>
          <w:sz w:val="32"/>
          <w:szCs w:val="32"/>
          <w:lang w:val="en-US" w:eastAsia="zh-CN" w:bidi="he-IL"/>
        </w:rPr>
        <w:t>名，</w:t>
      </w:r>
      <w:r>
        <w:rPr>
          <w:rFonts w:hint="eastAsia" w:ascii="仿宋_GB2312" w:hAnsi="仿宋_GB2312" w:eastAsia="仿宋_GB2312" w:cs="仿宋_GB2312"/>
          <w:color w:val="000000"/>
          <w:kern w:val="2"/>
          <w:sz w:val="32"/>
          <w:szCs w:val="32"/>
          <w:lang w:val="en-US" w:eastAsia="zh-CN" w:bidi="he-IL"/>
        </w:rPr>
        <w:t>设主任1名。</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Arial" w:hAnsi="Arial" w:eastAsia="仿宋_GB2312" w:cs="Arial"/>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政务（便民）服务中心：</w:t>
      </w:r>
      <w:r>
        <w:rPr>
          <w:rFonts w:hint="eastAsia" w:ascii="Arial" w:hAnsi="Arial" w:eastAsia="仿宋_GB2312" w:cs="Arial"/>
          <w:color w:val="000000"/>
          <w:sz w:val="32"/>
          <w:szCs w:val="32"/>
        </w:rPr>
        <w:t>负责制定并组织实施便民服务中心规章制度、管理办法；承担进驻服务项目的确定、调整，提供便民服务政策咨询，协调受理、办理和代理各类服务事项；开展医保、养老及其他社会保险、困难人员生活保障、五保供养、孤残救助等社会保障服务工作。</w:t>
      </w:r>
    </w:p>
    <w:p>
      <w:pPr>
        <w:keepNext w:val="0"/>
        <w:keepLines w:val="0"/>
        <w:pageBreakBefore w:val="0"/>
        <w:widowControl w:val="0"/>
        <w:kinsoku/>
        <w:wordWrap/>
        <w:overflowPunct/>
        <w:topLinePunct w:val="0"/>
        <w:autoSpaceDE/>
        <w:autoSpaceDN/>
        <w:bidi w:val="0"/>
        <w:adjustRightInd w:val="0"/>
        <w:spacing w:line="500" w:lineRule="exact"/>
        <w:ind w:left="0" w:leftChars="0" w:firstLine="596" w:firstLineChars="200"/>
        <w:jc w:val="both"/>
        <w:textAlignment w:val="baseline"/>
        <w:rPr>
          <w:rFonts w:hint="eastAsia" w:ascii="仿宋_GB2312" w:hAnsi="仿宋_GB2312" w:eastAsia="仿宋_GB2312" w:cs="仿宋_GB2312"/>
          <w:color w:val="000000"/>
          <w:kern w:val="2"/>
          <w:sz w:val="32"/>
          <w:szCs w:val="32"/>
          <w:lang w:val="en-US" w:eastAsia="zh-CN" w:bidi="he-IL"/>
        </w:rPr>
      </w:pPr>
      <w:r>
        <w:rPr>
          <w:rFonts w:hint="eastAsia" w:ascii="Arial" w:hAnsi="Arial" w:eastAsia="仿宋_GB2312" w:cs="Arial"/>
          <w:color w:val="000000"/>
          <w:spacing w:val="-11"/>
          <w:kern w:val="2"/>
          <w:sz w:val="32"/>
          <w:szCs w:val="32"/>
          <w:lang w:val="en-US" w:eastAsia="zh-CN" w:bidi="he-IL"/>
        </w:rPr>
        <w:t>康乐镇政务（便民）服务中心核定事业编制</w:t>
      </w:r>
      <w:r>
        <w:rPr>
          <w:rFonts w:hint="eastAsia" w:ascii="仿宋_GB2312" w:hAnsi="仿宋_GB2312" w:eastAsia="仿宋_GB2312" w:cs="仿宋_GB2312"/>
          <w:b w:val="0"/>
          <w:bCs w:val="0"/>
          <w:color w:val="000000"/>
          <w:spacing w:val="-11"/>
          <w:kern w:val="2"/>
          <w:sz w:val="32"/>
          <w:szCs w:val="32"/>
          <w:u w:val="none"/>
          <w:lang w:val="en-US" w:eastAsia="zh-CN" w:bidi="he-IL"/>
        </w:rPr>
        <w:t>4</w:t>
      </w:r>
      <w:r>
        <w:rPr>
          <w:rFonts w:hint="eastAsia" w:ascii="Arial" w:hAnsi="Arial" w:eastAsia="仿宋_GB2312" w:cs="Arial"/>
          <w:color w:val="000000"/>
          <w:spacing w:val="-11"/>
          <w:kern w:val="2"/>
          <w:sz w:val="32"/>
          <w:szCs w:val="32"/>
          <w:lang w:val="en-US" w:eastAsia="zh-CN" w:bidi="he-IL"/>
        </w:rPr>
        <w:t>名，</w:t>
      </w:r>
      <w:r>
        <w:rPr>
          <w:rFonts w:hint="eastAsia" w:ascii="仿宋_GB2312" w:hAnsi="仿宋_GB2312" w:eastAsia="仿宋_GB2312" w:cs="仿宋_GB2312"/>
          <w:color w:val="000000"/>
          <w:spacing w:val="-11"/>
          <w:kern w:val="2"/>
          <w:sz w:val="32"/>
          <w:szCs w:val="32"/>
          <w:lang w:val="en-US" w:eastAsia="zh-CN" w:bidi="he-IL"/>
        </w:rPr>
        <w:t>设主任1名。</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he-IL"/>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社会治安综合治理中心：</w:t>
      </w:r>
      <w:r>
        <w:rPr>
          <w:rFonts w:hint="eastAsia" w:ascii="Arial" w:hAnsi="Arial" w:eastAsia="仿宋_GB2312" w:cs="Arial"/>
          <w:color w:val="000000"/>
          <w:sz w:val="32"/>
          <w:szCs w:val="32"/>
        </w:rPr>
        <w:t>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w:t>
      </w:r>
      <w:r>
        <w:rPr>
          <w:rFonts w:hint="eastAsia" w:ascii="仿宋_GB2312" w:hAnsi="仿宋_GB2312" w:eastAsia="仿宋_GB2312" w:cs="仿宋_GB2312"/>
          <w:color w:val="000000"/>
          <w:kern w:val="2"/>
          <w:sz w:val="32"/>
          <w:szCs w:val="32"/>
          <w:lang w:val="en-US" w:eastAsia="zh-CN" w:bidi="he-IL"/>
        </w:rPr>
        <w:t>盾纠纷；协调、指导、推动网格化建设服务工作；掌握社会治安综合治理工作进展情况，组织开展维稳形势整体研判，加强重点人群、重点领域、重点部位、重点时段动态监测。</w:t>
      </w:r>
    </w:p>
    <w:p>
      <w:pPr>
        <w:keepNext w:val="0"/>
        <w:keepLines w:val="0"/>
        <w:pageBreakBefore w:val="0"/>
        <w:widowControl w:val="0"/>
        <w:kinsoku/>
        <w:wordWrap/>
        <w:overflowPunct/>
        <w:topLinePunct w:val="0"/>
        <w:autoSpaceDE/>
        <w:autoSpaceDN/>
        <w:bidi w:val="0"/>
        <w:adjustRightInd w:val="0"/>
        <w:spacing w:line="500" w:lineRule="exact"/>
        <w:ind w:left="0" w:leftChars="0" w:firstLine="572" w:firstLineChars="200"/>
        <w:jc w:val="both"/>
        <w:textAlignment w:val="baseline"/>
        <w:rPr>
          <w:rFonts w:hint="eastAsia" w:ascii="仿宋_GB2312" w:hAnsi="仿宋_GB2312" w:eastAsia="仿宋_GB2312" w:cs="仿宋_GB2312"/>
          <w:color w:val="000000"/>
          <w:spacing w:val="-17"/>
          <w:kern w:val="2"/>
          <w:sz w:val="32"/>
          <w:szCs w:val="32"/>
          <w:lang w:val="en-US" w:eastAsia="zh-CN" w:bidi="he-IL"/>
        </w:rPr>
      </w:pPr>
      <w:r>
        <w:rPr>
          <w:rFonts w:hint="eastAsia" w:ascii="仿宋_GB2312" w:hAnsi="仿宋_GB2312" w:eastAsia="仿宋_GB2312" w:cs="仿宋_GB2312"/>
          <w:color w:val="000000"/>
          <w:spacing w:val="-17"/>
          <w:kern w:val="2"/>
          <w:sz w:val="32"/>
          <w:szCs w:val="32"/>
          <w:lang w:val="en-US" w:eastAsia="zh-CN" w:bidi="he-IL"/>
        </w:rPr>
        <w:t>康乐镇社会治安综合治理中心核定事业编制</w:t>
      </w:r>
      <w:r>
        <w:rPr>
          <w:rFonts w:hint="eastAsia" w:ascii="仿宋_GB2312" w:hAnsi="仿宋_GB2312" w:eastAsia="仿宋_GB2312" w:cs="仿宋_GB2312"/>
          <w:b w:val="0"/>
          <w:bCs w:val="0"/>
          <w:color w:val="000000"/>
          <w:spacing w:val="-17"/>
          <w:kern w:val="2"/>
          <w:sz w:val="32"/>
          <w:szCs w:val="32"/>
          <w:u w:val="none"/>
          <w:lang w:val="en-US" w:eastAsia="zh-CN" w:bidi="he-IL"/>
        </w:rPr>
        <w:t>4</w:t>
      </w:r>
      <w:r>
        <w:rPr>
          <w:rFonts w:hint="eastAsia" w:ascii="仿宋_GB2312" w:hAnsi="仿宋_GB2312" w:eastAsia="仿宋_GB2312" w:cs="仿宋_GB2312"/>
          <w:color w:val="000000"/>
          <w:spacing w:val="-17"/>
          <w:kern w:val="2"/>
          <w:sz w:val="32"/>
          <w:szCs w:val="32"/>
          <w:lang w:val="en-US" w:eastAsia="zh-CN" w:bidi="he-IL"/>
        </w:rPr>
        <w:t>名，设主任1名。</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Arial" w:hAnsi="Arial" w:eastAsia="仿宋_GB2312" w:cs="Arial"/>
          <w:color w:val="000000"/>
          <w:sz w:val="32"/>
          <w:szCs w:val="32"/>
          <w:lang w:val="en-US" w:eastAsia="zh-CN"/>
        </w:rPr>
      </w:pPr>
      <w:r>
        <w:rPr>
          <w:rFonts w:hint="eastAsia" w:ascii="仿宋_GB2312" w:hAnsi="仿宋_GB2312" w:eastAsia="仿宋_GB2312" w:cs="仿宋_GB2312"/>
          <w:b/>
          <w:bCs/>
          <w:color w:val="000000"/>
          <w:sz w:val="32"/>
          <w:szCs w:val="32"/>
          <w:lang w:val="en-US" w:eastAsia="zh-CN"/>
        </w:rPr>
        <w:t>5.综合行政执法队：</w:t>
      </w:r>
      <w:r>
        <w:rPr>
          <w:rFonts w:hint="eastAsia" w:ascii="Arial" w:hAnsi="Arial" w:eastAsia="仿宋_GB2312" w:cs="Arial"/>
          <w:color w:val="000000"/>
          <w:sz w:val="32"/>
          <w:szCs w:val="32"/>
        </w:rPr>
        <w:t>负责宣传贯彻执行</w:t>
      </w:r>
      <w:r>
        <w:rPr>
          <w:rFonts w:hint="eastAsia" w:ascii="Arial" w:hAnsi="Arial" w:eastAsia="仿宋_GB2312" w:cs="Arial"/>
          <w:color w:val="000000"/>
          <w:sz w:val="32"/>
          <w:szCs w:val="32"/>
          <w:lang w:eastAsia="zh-CN"/>
        </w:rPr>
        <w:t>党的路线、方针、政策和</w:t>
      </w:r>
      <w:r>
        <w:rPr>
          <w:rFonts w:hint="eastAsia" w:ascii="Arial" w:hAnsi="Arial" w:eastAsia="仿宋_GB2312" w:cs="Arial"/>
          <w:color w:val="000000"/>
          <w:sz w:val="32"/>
          <w:szCs w:val="32"/>
        </w:rPr>
        <w:t>国家相关法律法规；负责辖区内的生态环境、文化市场、交通运</w:t>
      </w:r>
      <w:r>
        <w:rPr>
          <w:rFonts w:hint="eastAsia" w:ascii="仿宋_GB2312" w:hAnsi="仿宋_GB2312" w:eastAsia="仿宋_GB2312" w:cs="仿宋_GB2312"/>
          <w:color w:val="000000"/>
          <w:kern w:val="2"/>
          <w:sz w:val="32"/>
          <w:szCs w:val="32"/>
          <w:lang w:val="en-US" w:eastAsia="zh-CN" w:bidi="he-IL"/>
        </w:rPr>
        <w:t>输、自然资源、农村农业、村镇规划、殡葬管理、卫生监督、</w:t>
      </w:r>
      <w:r>
        <w:rPr>
          <w:rFonts w:hint="eastAsia" w:ascii="仿宋_GB2312" w:hAnsi="仿宋_GB2312" w:eastAsia="仿宋_GB2312" w:cs="仿宋_GB2312"/>
          <w:color w:val="000000"/>
          <w:sz w:val="32"/>
          <w:szCs w:val="32"/>
          <w:highlight w:val="none"/>
          <w:lang w:val="en-US" w:eastAsia="zh-CN"/>
        </w:rPr>
        <w:t>村镇规划、</w:t>
      </w:r>
      <w:r>
        <w:rPr>
          <w:rFonts w:hint="eastAsia" w:ascii="仿宋_GB2312" w:hAnsi="仿宋_GB2312" w:eastAsia="仿宋_GB2312" w:cs="仿宋_GB2312"/>
          <w:color w:val="000000"/>
          <w:kern w:val="2"/>
          <w:sz w:val="32"/>
          <w:szCs w:val="32"/>
          <w:lang w:val="en-US" w:eastAsia="zh-CN" w:bidi="he-IL"/>
        </w:rPr>
        <w:t>安全生产、劳动监察等方面的行</w:t>
      </w:r>
      <w:r>
        <w:rPr>
          <w:rFonts w:hint="eastAsia" w:ascii="Arial" w:hAnsi="Arial" w:eastAsia="仿宋_GB2312" w:cs="Arial"/>
          <w:color w:val="000000"/>
          <w:sz w:val="32"/>
          <w:szCs w:val="32"/>
          <w:lang w:val="en-US" w:eastAsia="zh-CN"/>
        </w:rPr>
        <w:t>政监督检查及处罚。</w:t>
      </w:r>
    </w:p>
    <w:p>
      <w:pPr>
        <w:keepNext w:val="0"/>
        <w:keepLines w:val="0"/>
        <w:pageBreakBefore w:val="0"/>
        <w:widowControl w:val="0"/>
        <w:kinsoku/>
        <w:wordWrap/>
        <w:overflowPunct/>
        <w:topLinePunct w:val="0"/>
        <w:autoSpaceDE/>
        <w:autoSpaceDN/>
        <w:bidi w:val="0"/>
        <w:adjustRightInd w:val="0"/>
        <w:spacing w:line="500" w:lineRule="exact"/>
        <w:ind w:left="0" w:leftChars="0" w:firstLine="640" w:firstLineChars="200"/>
        <w:jc w:val="both"/>
        <w:textAlignment w:val="baseline"/>
        <w:rPr>
          <w:rFonts w:hint="eastAsia" w:ascii="Arial" w:hAnsi="Arial" w:eastAsia="仿宋_GB2312" w:cs="Arial"/>
          <w:color w:val="000000"/>
          <w:kern w:val="2"/>
          <w:sz w:val="32"/>
          <w:szCs w:val="32"/>
          <w:lang w:val="en-US" w:eastAsia="zh-CN" w:bidi="he-IL"/>
        </w:rPr>
      </w:pPr>
      <w:r>
        <w:rPr>
          <w:rFonts w:hint="eastAsia" w:ascii="仿宋_GB2312" w:hAnsi="仿宋_GB2312" w:eastAsia="仿宋_GB2312" w:cs="仿宋_GB2312"/>
          <w:color w:val="000000"/>
          <w:kern w:val="2"/>
          <w:sz w:val="32"/>
          <w:szCs w:val="32"/>
          <w:lang w:val="en-US" w:eastAsia="zh-CN" w:bidi="he-IL"/>
        </w:rPr>
        <w:t>康乐镇综合行政执法队核定事业编制</w:t>
      </w:r>
      <w:r>
        <w:rPr>
          <w:rFonts w:hint="eastAsia" w:ascii="仿宋_GB2312" w:hAnsi="仿宋_GB2312" w:eastAsia="仿宋_GB2312" w:cs="仿宋_GB2312"/>
          <w:b w:val="0"/>
          <w:bCs w:val="0"/>
          <w:color w:val="000000"/>
          <w:kern w:val="2"/>
          <w:sz w:val="32"/>
          <w:szCs w:val="32"/>
          <w:u w:val="none"/>
          <w:lang w:val="en-US" w:eastAsia="zh-CN" w:bidi="he-IL"/>
        </w:rPr>
        <w:t>6</w:t>
      </w:r>
      <w:r>
        <w:rPr>
          <w:rFonts w:hint="eastAsia" w:ascii="仿宋_GB2312" w:hAnsi="仿宋_GB2312" w:eastAsia="仿宋_GB2312" w:cs="仿宋_GB2312"/>
          <w:color w:val="000000"/>
          <w:kern w:val="2"/>
          <w:sz w:val="32"/>
          <w:szCs w:val="32"/>
          <w:lang w:val="en-US" w:eastAsia="zh-CN" w:bidi="he-IL"/>
        </w:rPr>
        <w:t>名，设队长1名。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w:t>
      </w:r>
      <w:r>
        <w:rPr>
          <w:rFonts w:hint="eastAsia" w:ascii="楷体_GB2312" w:hAnsi="仿宋_GB2312" w:eastAsia="楷体_GB2312" w:cs="仿宋_GB2312"/>
          <w:color w:val="000000"/>
          <w:sz w:val="32"/>
          <w:szCs w:val="32"/>
          <w:lang w:eastAsia="zh-CN"/>
        </w:rPr>
        <w:t>三</w:t>
      </w:r>
      <w:r>
        <w:rPr>
          <w:rFonts w:hint="eastAsia" w:ascii="楷体_GB2312" w:hAnsi="仿宋_GB2312" w:eastAsia="楷体_GB2312" w:cs="仿宋_GB2312"/>
          <w:color w:val="000000"/>
          <w:sz w:val="32"/>
          <w:szCs w:val="32"/>
        </w:rPr>
        <w:t>）</w:t>
      </w:r>
      <w:r>
        <w:rPr>
          <w:rFonts w:hint="eastAsia" w:ascii="楷体_GB2312" w:hAnsi="黑体" w:eastAsia="楷体_GB2312" w:cs="黑体"/>
          <w:color w:val="000000"/>
          <w:sz w:val="32"/>
          <w:szCs w:val="32"/>
        </w:rPr>
        <w:t>派驻机构</w:t>
      </w:r>
    </w:p>
    <w:p>
      <w:pPr>
        <w:keepNext w:val="0"/>
        <w:keepLines w:val="0"/>
        <w:pageBreakBefore w:val="0"/>
        <w:widowControl w:val="0"/>
        <w:kinsoku/>
        <w:wordWrap/>
        <w:overflowPunct/>
        <w:topLinePunct w:val="0"/>
        <w:autoSpaceDE/>
        <w:autoSpaceDN/>
        <w:bidi w:val="0"/>
        <w:adjustRightInd w:val="0"/>
        <w:spacing w:line="500" w:lineRule="exact"/>
        <w:ind w:left="0" w:leftChars="0" w:firstLine="640" w:firstLineChars="200"/>
        <w:jc w:val="both"/>
        <w:textAlignment w:val="baseline"/>
        <w:rPr>
          <w:rFonts w:hint="eastAsia" w:ascii="仿宋_GB2312" w:hAnsi="仿宋_GB2312" w:eastAsia="仿宋_GB2312" w:cs="仿宋_GB2312"/>
          <w:color w:val="000000"/>
          <w:kern w:val="2"/>
          <w:sz w:val="32"/>
          <w:szCs w:val="32"/>
          <w:lang w:val="en-US" w:eastAsia="zh-CN" w:bidi="he-IL"/>
        </w:rPr>
      </w:pPr>
      <w:r>
        <w:rPr>
          <w:rFonts w:hint="eastAsia" w:ascii="仿宋_GB2312" w:hAnsi="仿宋_GB2312" w:eastAsia="仿宋_GB2312" w:cs="仿宋_GB2312"/>
          <w:color w:val="000000"/>
          <w:kern w:val="2"/>
          <w:sz w:val="32"/>
          <w:szCs w:val="32"/>
          <w:lang w:val="en-US" w:eastAsia="zh-CN" w:bidi="he-IL"/>
        </w:rPr>
        <w:t>在康乐镇实行派驻体制的机构，要建立健全工作机制，实行县级业务部门与康乐镇双重管理体制，派驻的执法机构与综合执法队集中办公，行政执法工作接受康乐镇的统一协调指挥，实现“一支队伍管执法”。康乐</w:t>
      </w:r>
      <w:r>
        <w:rPr>
          <w:rFonts w:hint="eastAsia" w:ascii="Arial" w:hAnsi="Arial" w:eastAsia="仿宋_GB2312" w:cs="Arial"/>
          <w:color w:val="000000"/>
          <w:kern w:val="2"/>
          <w:sz w:val="32"/>
          <w:szCs w:val="32"/>
          <w:lang w:val="en-US" w:eastAsia="zh-CN" w:bidi="ar-SA"/>
        </w:rPr>
        <w:t>镇</w:t>
      </w:r>
      <w:r>
        <w:rPr>
          <w:rFonts w:hint="eastAsia" w:ascii="仿宋_GB2312" w:hAnsi="仿宋_GB2312" w:eastAsia="仿宋_GB2312" w:cs="仿宋_GB2312"/>
          <w:color w:val="000000"/>
          <w:kern w:val="2"/>
          <w:sz w:val="32"/>
          <w:szCs w:val="32"/>
          <w:lang w:val="en-US" w:eastAsia="zh-CN" w:bidi="he-IL"/>
        </w:rPr>
        <w:t>党委、政府要强化对派驻机构和人员的日常管理，派驻机构的人员编制调整、工作考核和主要负责同志任免必须征求镇党委的意见。</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he-IL"/>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eastAsia="zh-CN"/>
        </w:rPr>
        <w:t>肃南县公安局</w:t>
      </w:r>
      <w:r>
        <w:rPr>
          <w:rFonts w:hint="eastAsia" w:ascii="仿宋_GB2312" w:hAnsi="仿宋_GB2312" w:eastAsia="仿宋_GB2312" w:cs="仿宋_GB2312"/>
          <w:b/>
          <w:bCs/>
          <w:color w:val="000000"/>
          <w:sz w:val="32"/>
          <w:szCs w:val="32"/>
          <w:lang w:val="en-US" w:eastAsia="zh-CN"/>
        </w:rPr>
        <w:t>康乐</w:t>
      </w:r>
      <w:r>
        <w:rPr>
          <w:rFonts w:hint="eastAsia" w:ascii="仿宋_GB2312" w:hAnsi="仿宋_GB2312" w:eastAsia="仿宋_GB2312" w:cs="仿宋_GB2312"/>
          <w:b/>
          <w:bCs/>
          <w:color w:val="000000"/>
          <w:sz w:val="32"/>
          <w:szCs w:val="32"/>
          <w:lang w:eastAsia="zh-CN"/>
        </w:rPr>
        <w:t>派出</w:t>
      </w:r>
      <w:r>
        <w:rPr>
          <w:rFonts w:hint="eastAsia" w:ascii="仿宋_GB2312" w:hAnsi="仿宋_GB2312" w:eastAsia="仿宋_GB2312" w:cs="仿宋_GB2312"/>
          <w:b/>
          <w:bCs/>
          <w:color w:val="000000"/>
          <w:sz w:val="32"/>
          <w:szCs w:val="32"/>
        </w:rPr>
        <w:t>所。</w:t>
      </w:r>
      <w:r>
        <w:rPr>
          <w:rFonts w:hint="eastAsia" w:ascii="仿宋_GB2312" w:hAnsi="仿宋_GB2312" w:eastAsia="仿宋_GB2312" w:cs="仿宋_GB2312"/>
          <w:color w:val="000000"/>
          <w:kern w:val="2"/>
          <w:sz w:val="32"/>
          <w:szCs w:val="32"/>
          <w:lang w:val="en-US" w:eastAsia="zh-CN" w:bidi="he-IL"/>
        </w:rPr>
        <w:t>继续实行派驻管理体制，职能职责、人员编制不变。</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he-IL"/>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eastAsia="zh-CN"/>
        </w:rPr>
        <w:t>肃南县司法局</w:t>
      </w:r>
      <w:r>
        <w:rPr>
          <w:rFonts w:hint="eastAsia" w:ascii="仿宋_GB2312" w:hAnsi="仿宋_GB2312" w:eastAsia="仿宋_GB2312" w:cs="仿宋_GB2312"/>
          <w:b/>
          <w:bCs/>
          <w:color w:val="000000"/>
          <w:sz w:val="32"/>
          <w:szCs w:val="32"/>
          <w:lang w:val="en-US" w:eastAsia="zh-CN"/>
        </w:rPr>
        <w:t>康乐</w:t>
      </w:r>
      <w:r>
        <w:rPr>
          <w:rFonts w:hint="eastAsia" w:ascii="仿宋_GB2312" w:hAnsi="仿宋_GB2312" w:eastAsia="仿宋_GB2312" w:cs="仿宋_GB2312"/>
          <w:b/>
          <w:bCs/>
          <w:color w:val="000000"/>
          <w:sz w:val="32"/>
          <w:szCs w:val="32"/>
          <w:lang w:eastAsia="zh-CN"/>
        </w:rPr>
        <w:t>司法所</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2"/>
          <w:sz w:val="32"/>
          <w:szCs w:val="32"/>
          <w:lang w:val="en-US" w:eastAsia="zh-CN" w:bidi="he-IL"/>
        </w:rPr>
        <w:t>继续实行派驻管理体制，职能职责、人员编制不变。</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he-IL"/>
        </w:rPr>
      </w:pPr>
      <w:r>
        <w:rPr>
          <w:rFonts w:hint="eastAsia" w:ascii="仿宋_GB2312" w:hAnsi="仿宋_GB2312" w:eastAsia="仿宋_GB2312" w:cs="仿宋_GB2312"/>
          <w:b/>
          <w:bCs/>
          <w:color w:val="000000"/>
          <w:sz w:val="32"/>
          <w:szCs w:val="32"/>
          <w:lang w:val="en-US" w:eastAsia="zh-CN"/>
        </w:rPr>
        <w:t>3.肃南县国土资源局康乐国土资源中心所</w:t>
      </w:r>
      <w:r>
        <w:rPr>
          <w:rFonts w:hint="eastAsia" w:ascii="仿宋_GB2312" w:hAnsi="仿宋_GB2312" w:eastAsia="仿宋_GB2312" w:cs="仿宋_GB2312"/>
          <w:b/>
          <w:bCs/>
          <w:color w:val="auto"/>
          <w:sz w:val="32"/>
          <w:szCs w:val="32"/>
          <w:lang w:val="en-US" w:eastAsia="zh-CN"/>
        </w:rPr>
        <w:t>(肃南县国土资源局</w:t>
      </w:r>
      <w:r>
        <w:rPr>
          <w:rFonts w:hint="eastAsia" w:ascii="仿宋_GB2312" w:hAnsi="仿宋_GB2312" w:eastAsia="仿宋_GB2312" w:cs="仿宋_GB2312"/>
          <w:b/>
          <w:bCs/>
          <w:color w:val="000000"/>
          <w:sz w:val="32"/>
          <w:szCs w:val="32"/>
          <w:lang w:val="en-US" w:eastAsia="zh-CN"/>
        </w:rPr>
        <w:t>康乐</w:t>
      </w:r>
      <w:r>
        <w:rPr>
          <w:rFonts w:hint="eastAsia" w:ascii="仿宋_GB2312" w:hAnsi="仿宋_GB2312" w:eastAsia="仿宋_GB2312" w:cs="仿宋_GB2312"/>
          <w:b/>
          <w:bCs/>
          <w:color w:val="auto"/>
          <w:sz w:val="32"/>
          <w:szCs w:val="32"/>
          <w:lang w:val="en-US" w:eastAsia="zh-CN"/>
        </w:rPr>
        <w:t>国土资源执法监察大队)</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color w:val="000000"/>
          <w:kern w:val="2"/>
          <w:sz w:val="32"/>
          <w:szCs w:val="32"/>
          <w:lang w:val="en-US" w:eastAsia="zh-CN" w:bidi="he-IL"/>
        </w:rPr>
        <w:t>继续实行派驻管理体制，职能职责、人员编制不变。</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he-IL"/>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肃南县市场</w:t>
      </w:r>
      <w:r>
        <w:rPr>
          <w:rFonts w:hint="eastAsia" w:ascii="仿宋_GB2312" w:hAnsi="仿宋_GB2312" w:eastAsia="仿宋_GB2312" w:cs="仿宋_GB2312"/>
          <w:b/>
          <w:bCs/>
          <w:color w:val="000000"/>
          <w:sz w:val="32"/>
          <w:szCs w:val="32"/>
          <w:lang w:val="en-US" w:eastAsia="zh-CN"/>
        </w:rPr>
        <w:t>监督管理局康乐</w:t>
      </w:r>
      <w:r>
        <w:rPr>
          <w:rFonts w:hint="eastAsia" w:ascii="仿宋_GB2312" w:hAnsi="仿宋_GB2312" w:eastAsia="仿宋_GB2312" w:cs="仿宋_GB2312"/>
          <w:b/>
          <w:bCs/>
          <w:color w:val="000000"/>
          <w:sz w:val="32"/>
          <w:szCs w:val="32"/>
          <w:lang w:eastAsia="zh-CN"/>
        </w:rPr>
        <w:t>市场</w:t>
      </w:r>
      <w:r>
        <w:rPr>
          <w:rFonts w:hint="eastAsia" w:ascii="仿宋_GB2312" w:hAnsi="仿宋_GB2312" w:eastAsia="仿宋_GB2312" w:cs="仿宋_GB2312"/>
          <w:b/>
          <w:bCs/>
          <w:color w:val="000000"/>
          <w:sz w:val="32"/>
          <w:szCs w:val="32"/>
          <w:lang w:val="en-US" w:eastAsia="zh-CN"/>
        </w:rPr>
        <w:t>监督管理所</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2"/>
          <w:sz w:val="32"/>
          <w:szCs w:val="32"/>
          <w:lang w:val="en-US" w:eastAsia="zh-CN" w:bidi="he-IL"/>
        </w:rPr>
        <w:t>继续实行派出管理体制，职能职责、人员编制不变。</w:t>
      </w:r>
    </w:p>
    <w:p>
      <w:pPr>
        <w:keepNext w:val="0"/>
        <w:keepLines w:val="0"/>
        <w:pageBreakBefore w:val="0"/>
        <w:widowControl w:val="0"/>
        <w:kinsoku/>
        <w:wordWrap/>
        <w:overflowPunct/>
        <w:topLinePunct w:val="0"/>
        <w:autoSpaceDE/>
        <w:autoSpaceDN/>
        <w:bidi w:val="0"/>
        <w:spacing w:line="50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5.肃南县康乐镇畜牧兽医工作站。</w:t>
      </w:r>
      <w:r>
        <w:rPr>
          <w:rFonts w:hint="eastAsia" w:ascii="仿宋_GB2312" w:hAnsi="仿宋_GB2312" w:eastAsia="仿宋_GB2312" w:cs="仿宋_GB2312"/>
          <w:color w:val="000000"/>
          <w:sz w:val="32"/>
          <w:szCs w:val="32"/>
          <w:lang w:val="en-US" w:eastAsia="zh-CN"/>
        </w:rPr>
        <w:t>整合原农牧业综合服务中心承担的畜牧兽医方面职责，设立畜牧兽医工作站,实行以县级主管部门为主的管理体制。负责重大动物疫病防控、上报疫情和疫情处置等工作；负责动物及动物产品检疫、无害化处理，兽药、饲料、饲料添加剂等畜牧投入品及生鲜乳监管、畜产品监测等工</w:t>
      </w:r>
      <w:r>
        <w:rPr>
          <w:rFonts w:hint="eastAsia" w:ascii="仿宋_GB2312" w:hAnsi="仿宋_GB2312" w:eastAsia="仿宋_GB2312" w:cs="仿宋_GB2312"/>
          <w:color w:val="000000"/>
          <w:spacing w:val="-6"/>
          <w:sz w:val="32"/>
          <w:szCs w:val="32"/>
          <w:lang w:val="en-US" w:eastAsia="zh-CN"/>
        </w:rPr>
        <w:t>作；负责畜牧兽医技术培训、技术推广、良种繁育、试验示范、动物资源保护和开发利用等工作。核定事业编制6名，设站长1名。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二、绩效自评工作开展情况</w:t>
      </w:r>
    </w:p>
    <w:p>
      <w:pPr>
        <w:keepNext w:val="0"/>
        <w:keepLines w:val="0"/>
        <w:pageBreakBefore w:val="0"/>
        <w:kinsoku/>
        <w:wordWrap/>
        <w:overflowPunct/>
        <w:topLinePunct w:val="0"/>
        <w:autoSpaceDE/>
        <w:autoSpaceDN/>
        <w:bidi w:val="0"/>
        <w:spacing w:line="500" w:lineRule="exact"/>
        <w:ind w:left="0" w:leftChars="0" w:firstLine="640" w:firstLineChars="200"/>
        <w:jc w:val="both"/>
        <w:rPr>
          <w:rFonts w:hint="eastAsia" w:ascii="仿宋" w:hAnsi="仿宋" w:eastAsia="仿宋"/>
          <w:sz w:val="32"/>
          <w:szCs w:val="32"/>
          <w:lang w:val="en-US" w:eastAsia="zh-CN"/>
        </w:rPr>
      </w:pPr>
      <w:r>
        <w:rPr>
          <w:rFonts w:hint="eastAsia" w:ascii="仿宋_GB2312" w:hAnsi="仿宋_GB2312" w:eastAsia="仿宋_GB2312" w:cs="仿宋_GB2312"/>
          <w:sz w:val="32"/>
          <w:szCs w:val="32"/>
        </w:rPr>
        <w:t>为切实做好预算绩效自评工作，成立了由单位分管财务</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为组长、分管</w:t>
      </w:r>
      <w:r>
        <w:rPr>
          <w:rFonts w:hint="eastAsia" w:ascii="仿宋_GB2312" w:hAnsi="仿宋_GB2312" w:eastAsia="仿宋_GB2312" w:cs="仿宋_GB2312"/>
          <w:sz w:val="32"/>
          <w:szCs w:val="32"/>
          <w:lang w:eastAsia="zh-CN"/>
        </w:rPr>
        <w:t>主要业务负责人</w:t>
      </w:r>
      <w:r>
        <w:rPr>
          <w:rFonts w:hint="eastAsia" w:ascii="仿宋_GB2312" w:hAnsi="仿宋_GB2312" w:eastAsia="仿宋_GB2312" w:cs="仿宋_GB2312"/>
          <w:sz w:val="32"/>
          <w:szCs w:val="32"/>
        </w:rPr>
        <w:t>为副组长、财务人员和相关工作人员组成自评小组，严格对照项目实施方案和预算资金使用范围及产生的效益进行了客观公正的评价。在</w:t>
      </w:r>
      <w:r>
        <w:rPr>
          <w:rFonts w:hint="eastAsia" w:ascii="仿宋_GB2312" w:hAnsi="宋体" w:eastAsia="仿宋_GB2312" w:cs="仿宋_GB2312"/>
          <w:sz w:val="32"/>
          <w:szCs w:val="32"/>
        </w:rPr>
        <w:t>资金的使用方面管理制度健全、</w:t>
      </w:r>
      <w:r>
        <w:rPr>
          <w:rFonts w:hint="eastAsia" w:ascii="仿宋_GB2312" w:hAnsi="仿宋" w:eastAsia="仿宋_GB2312" w:cs="仿宋_GB2312"/>
          <w:sz w:val="32"/>
          <w:szCs w:val="32"/>
        </w:rPr>
        <w:t>严格做到了</w:t>
      </w:r>
      <w:r>
        <w:rPr>
          <w:rFonts w:hint="eastAsia" w:ascii="仿宋_GB2312" w:hAnsi="仿宋" w:eastAsia="仿宋_GB2312" w:cs="仿宋_GB2312"/>
          <w:sz w:val="32"/>
          <w:szCs w:val="32"/>
          <w:lang w:eastAsia="zh-CN"/>
        </w:rPr>
        <w:t>国库集中支付、</w:t>
      </w:r>
      <w:r>
        <w:rPr>
          <w:rFonts w:hint="eastAsia" w:ascii="仿宋_GB2312" w:hAnsi="仿宋" w:eastAsia="仿宋_GB2312" w:cs="仿宋_GB2312"/>
          <w:sz w:val="32"/>
          <w:szCs w:val="32"/>
        </w:rPr>
        <w:t>专款专用，确保了资金的安全运行，在项目检查和实施</w:t>
      </w:r>
      <w:r>
        <w:rPr>
          <w:rFonts w:hint="eastAsia" w:ascii="仿宋_GB2312" w:hAnsi="仿宋" w:eastAsia="仿宋_GB2312" w:cs="仿宋_GB2312"/>
          <w:sz w:val="32"/>
          <w:szCs w:val="32"/>
          <w:lang w:eastAsia="zh-CN"/>
        </w:rPr>
        <w:t>中通过业内审查方式进行绩效自评工作</w:t>
      </w:r>
      <w:r>
        <w:rPr>
          <w:rFonts w:hint="eastAsia" w:ascii="仿宋_GB2312" w:hAnsi="仿宋" w:eastAsia="仿宋_GB2312" w:cs="仿宋_GB2312"/>
          <w:sz w:val="32"/>
          <w:szCs w:val="32"/>
        </w:rPr>
        <w:t>。</w:t>
      </w:r>
      <w:r>
        <w:rPr>
          <w:rFonts w:hint="eastAsia" w:ascii="仿宋" w:hAnsi="仿宋" w:eastAsia="仿宋"/>
          <w:sz w:val="32"/>
          <w:szCs w:val="32"/>
          <w:lang w:eastAsia="zh-CN"/>
        </w:rPr>
        <w:t>纳入</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本部门整体预算绩效1项，年初预算资金954.06万元，其中项目绩效3项</w:t>
      </w:r>
      <w:r>
        <w:rPr>
          <w:rFonts w:hint="eastAsia" w:ascii="仿宋" w:hAnsi="仿宋" w:eastAsia="仿宋"/>
          <w:sz w:val="32"/>
          <w:szCs w:val="32"/>
          <w:lang w:val="en-US" w:eastAsia="zh-CN"/>
        </w:rPr>
        <w:t>，预算资金252.4万元 。</w:t>
      </w:r>
    </w:p>
    <w:p>
      <w:pPr>
        <w:keepNext w:val="0"/>
        <w:keepLines w:val="0"/>
        <w:pageBreakBefore w:val="0"/>
        <w:numPr>
          <w:ilvl w:val="0"/>
          <w:numId w:val="3"/>
        </w:numPr>
        <w:kinsoku/>
        <w:wordWrap/>
        <w:overflowPunct/>
        <w:topLinePunct w:val="0"/>
        <w:autoSpaceDE/>
        <w:autoSpaceDN/>
        <w:bidi w:val="0"/>
        <w:spacing w:line="50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部门整体支出绩效自评情况分析</w:t>
      </w:r>
    </w:p>
    <w:p>
      <w:pPr>
        <w:pStyle w:val="6"/>
        <w:keepNext w:val="0"/>
        <w:keepLines w:val="0"/>
        <w:pageBreakBefore w:val="0"/>
        <w:numPr>
          <w:ilvl w:val="0"/>
          <w:numId w:val="4"/>
        </w:numPr>
        <w:kinsoku/>
        <w:wordWrap/>
        <w:overflowPunct/>
        <w:topLinePunct w:val="0"/>
        <w:autoSpaceDE/>
        <w:autoSpaceDN/>
        <w:bidi w:val="0"/>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部门决算情况。</w:t>
      </w:r>
    </w:p>
    <w:p>
      <w:pPr>
        <w:pStyle w:val="6"/>
        <w:keepNext w:val="0"/>
        <w:keepLines w:val="0"/>
        <w:pageBreakBefore w:val="0"/>
        <w:numPr>
          <w:ilvl w:val="0"/>
          <w:numId w:val="0"/>
        </w:numPr>
        <w:kinsoku/>
        <w:wordWrap/>
        <w:overflowPunct/>
        <w:topLinePunct w:val="0"/>
        <w:autoSpaceDE/>
        <w:autoSpaceDN/>
        <w:bidi w:val="0"/>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 xml:space="preserve">    </w:t>
      </w:r>
      <w:r>
        <w:rPr>
          <w:rFonts w:hint="eastAsia" w:ascii="仿宋" w:hAnsi="仿宋" w:eastAsia="仿宋"/>
          <w:sz w:val="32"/>
          <w:szCs w:val="32"/>
        </w:rPr>
        <w:t>本单位</w:t>
      </w:r>
      <w:r>
        <w:rPr>
          <w:rFonts w:hint="eastAsia" w:ascii="仿宋" w:hAnsi="仿宋" w:eastAsia="仿宋"/>
          <w:sz w:val="32"/>
          <w:szCs w:val="32"/>
          <w:lang w:eastAsia="zh-CN"/>
        </w:rPr>
        <w:t>年初</w:t>
      </w:r>
      <w:r>
        <w:rPr>
          <w:rFonts w:hint="eastAsia" w:ascii="仿宋" w:hAnsi="仿宋" w:eastAsia="仿宋"/>
          <w:sz w:val="32"/>
          <w:szCs w:val="32"/>
        </w:rPr>
        <w:t>预算</w:t>
      </w:r>
      <w:r>
        <w:rPr>
          <w:rFonts w:hint="eastAsia" w:ascii="仿宋" w:hAnsi="仿宋" w:eastAsia="仿宋"/>
          <w:sz w:val="32"/>
          <w:szCs w:val="32"/>
          <w:lang w:val="en-US" w:eastAsia="zh-CN"/>
        </w:rPr>
        <w:t>954.06</w:t>
      </w:r>
      <w:r>
        <w:rPr>
          <w:rFonts w:hint="eastAsia" w:ascii="仿宋" w:hAnsi="仿宋" w:eastAsia="仿宋"/>
          <w:sz w:val="32"/>
          <w:szCs w:val="32"/>
        </w:rPr>
        <w:t>元，</w:t>
      </w:r>
      <w:r>
        <w:rPr>
          <w:rFonts w:hint="eastAsia" w:ascii="仿宋" w:hAnsi="仿宋" w:eastAsia="仿宋"/>
          <w:sz w:val="32"/>
          <w:szCs w:val="32"/>
          <w:lang w:eastAsia="zh-CN"/>
        </w:rPr>
        <w:t>其中：基本支出</w:t>
      </w:r>
      <w:r>
        <w:rPr>
          <w:rFonts w:hint="eastAsia" w:ascii="仿宋" w:hAnsi="仿宋" w:eastAsia="仿宋"/>
          <w:sz w:val="32"/>
          <w:szCs w:val="32"/>
          <w:lang w:val="en-US" w:eastAsia="zh-CN"/>
        </w:rPr>
        <w:t>701.32万元，项目支出252.74万元，</w:t>
      </w:r>
      <w:r>
        <w:rPr>
          <w:rFonts w:hint="eastAsia" w:ascii="仿宋" w:hAnsi="仿宋" w:eastAsia="仿宋"/>
          <w:sz w:val="32"/>
          <w:szCs w:val="32"/>
          <w:lang w:eastAsia="zh-CN"/>
        </w:rPr>
        <w:t>本年度实际执行预算数为</w:t>
      </w:r>
      <w:r>
        <w:rPr>
          <w:rFonts w:hint="eastAsia" w:ascii="仿宋" w:hAnsi="仿宋" w:eastAsia="仿宋"/>
          <w:sz w:val="32"/>
          <w:szCs w:val="32"/>
          <w:lang w:val="en-US" w:eastAsia="zh-CN"/>
        </w:rPr>
        <w:t>954.06万元，</w:t>
      </w:r>
      <w:r>
        <w:rPr>
          <w:rFonts w:hint="eastAsia" w:ascii="仿宋" w:hAnsi="仿宋" w:eastAsia="仿宋"/>
          <w:sz w:val="32"/>
          <w:szCs w:val="32"/>
          <w:lang w:eastAsia="zh-CN"/>
        </w:rPr>
        <w:t>其中：基本支出</w:t>
      </w:r>
      <w:r>
        <w:rPr>
          <w:rFonts w:hint="eastAsia" w:ascii="仿宋" w:hAnsi="仿宋" w:eastAsia="仿宋"/>
          <w:sz w:val="32"/>
          <w:szCs w:val="32"/>
          <w:lang w:val="en-US" w:eastAsia="zh-CN"/>
        </w:rPr>
        <w:t>701.32万元，项目支出252.74万元。</w:t>
      </w:r>
    </w:p>
    <w:p>
      <w:pPr>
        <w:pStyle w:val="6"/>
        <w:keepNext w:val="0"/>
        <w:keepLines w:val="0"/>
        <w:pageBreakBefore w:val="0"/>
        <w:numPr>
          <w:ilvl w:val="0"/>
          <w:numId w:val="4"/>
        </w:numPr>
        <w:kinsoku/>
        <w:wordWrap/>
        <w:overflowPunct/>
        <w:topLinePunct w:val="0"/>
        <w:autoSpaceDE/>
        <w:autoSpaceDN/>
        <w:bidi w:val="0"/>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总体绩效目标完成情况分析。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始终坚持以习近平新时代中国特色社会主义思想为统揽，全面贯彻党的十九大和十九届二中、三中、四中、五中全会精神，深入贯彻落实习近平总书记对甘肃重要讲话和指示精神，统筹推进疫情防控和经济社会发展，扎扎实实补短板，千方百计破难题，各项工作取得新成绩。</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2.2020年全镇农牧村</w:t>
      </w:r>
      <w:r>
        <w:rPr>
          <w:rFonts w:hint="eastAsia" w:ascii="仿宋_GB2312" w:hAnsi="仿宋_GB2312" w:eastAsia="仿宋_GB2312" w:cs="仿宋_GB2312"/>
          <w:sz w:val="32"/>
          <w:szCs w:val="32"/>
        </w:rPr>
        <w:t>经济总收入达1.06亿元，较上年增长6%，农牧民人均可支配收入达20253元，较上年增长8%</w:t>
      </w:r>
      <w:r>
        <w:rPr>
          <w:rFonts w:hint="eastAsia" w:ascii="仿宋_GB2312" w:hAnsi="仿宋_GB2312" w:eastAsia="仿宋_GB2312" w:cs="仿宋_GB2312"/>
          <w:sz w:val="32"/>
          <w:szCs w:val="32"/>
          <w:highlight w:val="none"/>
          <w:lang w:val="en-US" w:eastAsia="zh-CN"/>
        </w:rPr>
        <w:t>。大力发展养殖业，积极向上争取资金修建养殖小区，通过政策倾斜、资金支持等措施大力推进肉牛、肉羊等产业发展，养殖形势平稳向好。年末</w:t>
      </w:r>
      <w:r>
        <w:rPr>
          <w:rFonts w:hint="eastAsia" w:ascii="仿宋_GB2312" w:hAnsi="仿宋_GB2312" w:eastAsia="仿宋_GB2312" w:cs="仿宋_GB2312"/>
          <w:sz w:val="32"/>
          <w:szCs w:val="32"/>
        </w:rPr>
        <w:t>存栏各类牲畜7.24万头（只），较上年同期增加0.87万头（只），增加13.7%，其中：大畜1.55万头，占21.4%；小畜5.69万只，占78.6%。成活仔畜3.57万头（只），成活率达93%以上；年内出栏牲畜4.3万头（只），牲畜舍饲半舍饲率达到76%以上；全镇农作物播种面积达3100亩。</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所辖区域成立群防群治队、拟定居民公约、组建道德评议会、红白理事会、居民议事会、禁赌禁毒会，相继修订规范婚丧标准、居民义务等公约。举办了“七一”建党主题党日活动、职工运动会等体育项目，增强体质；参加全县广场舞大赛、县职工运动会、县赛马比赛等民族特色项目，弘扬民族文化，提高凝聚力；每年给与康乐明德学校经费补贴3万元，支持教育事业发展；增设卡点，加大对进入和流出本辖区范围内的人员摸排，全面做好新冠肺炎疫情防控工作。各项活动的举办，有力的传播了科学文化，提升了居民文化素养。</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人居环境整治工程和无障碍通道、停车场、公厕、广场等便民设施建设，不断完善公共功能。改善辖区内供暖设备维修维护，保障居民温暖过冬；改善广场周边绿化水管道设施，提高绿植成活率，净化空气美化环境；推进榆木庄村、上游村厕所革命整村推进，完成户厕改革；维修改进便民服务大厅设施设备等，进一步提高居民群众获得感、满足感、幸福感。</w:t>
      </w:r>
    </w:p>
    <w:p>
      <w:pPr>
        <w:pStyle w:val="6"/>
        <w:keepNext w:val="0"/>
        <w:keepLines w:val="0"/>
        <w:pageBreakBefore w:val="0"/>
        <w:numPr>
          <w:ilvl w:val="0"/>
          <w:numId w:val="4"/>
        </w:numPr>
        <w:kinsoku/>
        <w:wordWrap/>
        <w:overflowPunct/>
        <w:topLinePunct w:val="0"/>
        <w:autoSpaceDE/>
        <w:autoSpaceDN/>
        <w:bidi w:val="0"/>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各项指标完成情况分析。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一是全员参与抗击肺炎疫情。</w:t>
      </w:r>
      <w:r>
        <w:rPr>
          <w:rFonts w:hint="eastAsia" w:ascii="仿宋_GB2312" w:hAnsi="仿宋_GB2312" w:eastAsia="仿宋_GB2312" w:cs="仿宋_GB2312"/>
          <w:color w:val="auto"/>
          <w:sz w:val="32"/>
          <w:szCs w:val="32"/>
          <w:lang w:eastAsia="zh-CN"/>
        </w:rPr>
        <w:t>全镇上下</w:t>
      </w:r>
      <w:r>
        <w:rPr>
          <w:rFonts w:hint="eastAsia" w:ascii="仿宋_GB2312" w:hAnsi="仿宋_GB2312" w:eastAsia="仿宋_GB2312" w:cs="仿宋_GB2312"/>
          <w:color w:val="auto"/>
          <w:sz w:val="32"/>
          <w:szCs w:val="32"/>
        </w:rPr>
        <w:t>迅速行动，全面部署、全</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动员</w:t>
      </w:r>
      <w:r>
        <w:rPr>
          <w:rFonts w:hint="eastAsia" w:ascii="仿宋_GB2312" w:hAnsi="仿宋_GB2312" w:eastAsia="仿宋_GB2312" w:cs="仿宋_GB2312"/>
          <w:color w:val="auto"/>
          <w:sz w:val="32"/>
          <w:szCs w:val="32"/>
          <w:lang w:eastAsia="zh-CN"/>
        </w:rPr>
        <w:t>、全员参与</w:t>
      </w:r>
      <w:r>
        <w:rPr>
          <w:rFonts w:hint="eastAsia" w:ascii="仿宋_GB2312" w:hAnsi="仿宋_GB2312" w:eastAsia="仿宋_GB2312" w:cs="仿宋_GB2312"/>
          <w:color w:val="auto"/>
          <w:sz w:val="32"/>
          <w:szCs w:val="32"/>
        </w:rPr>
        <w:t>，重点围绕防、控两个环节，稳步推进疫情防控各项工作。</w:t>
      </w:r>
      <w:r>
        <w:rPr>
          <w:rFonts w:hint="eastAsia" w:hAnsi="仿宋_GB2312" w:cs="仿宋_GB2312"/>
          <w:b/>
          <w:snapToGrid w:val="0"/>
          <w:color w:val="auto"/>
          <w:sz w:val="32"/>
          <w:szCs w:val="32"/>
          <w:lang w:eastAsia="zh-CN"/>
        </w:rPr>
        <w:t>二是</w:t>
      </w:r>
      <w:r>
        <w:rPr>
          <w:rFonts w:hint="eastAsia" w:ascii="黑体" w:hAnsi="黑体" w:eastAsia="黑体" w:cs="黑体"/>
          <w:b w:val="0"/>
          <w:bCs w:val="0"/>
          <w:color w:val="auto"/>
          <w:kern w:val="2"/>
          <w:sz w:val="32"/>
          <w:szCs w:val="32"/>
          <w:lang w:val="en-US" w:eastAsia="zh-CN" w:bidi="ar-SA"/>
        </w:rPr>
        <w:t>持续巩固脱贫攻坚成果。</w:t>
      </w:r>
      <w:r>
        <w:rPr>
          <w:rFonts w:hint="eastAsia" w:ascii="仿宋_GB2312" w:eastAsia="仿宋_GB2312"/>
          <w:color w:val="auto"/>
          <w:sz w:val="32"/>
          <w:szCs w:val="32"/>
        </w:rPr>
        <w:t>全镇上下以总攻状态、决战姿态、必胜心态攻城拔寨，尽锐出战，“百日攻坚”取得了明显成效。认真开展地毯式摸排走访核查，更加注重与“3+1”冲刺清零后续行动和5大专项提升行动及建档立卡户巩固提升计划无缝衔接，及时排查解决存在的短板问题，</w:t>
      </w:r>
      <w:r>
        <w:rPr>
          <w:rFonts w:hint="eastAsia"/>
          <w:color w:val="auto"/>
          <w:sz w:val="32"/>
          <w:szCs w:val="32"/>
          <w:lang w:eastAsia="zh-CN"/>
        </w:rPr>
        <w:t>争</w:t>
      </w:r>
      <w:r>
        <w:rPr>
          <w:rFonts w:hint="eastAsia" w:ascii="仿宋_GB2312" w:eastAsia="仿宋_GB2312"/>
          <w:color w:val="auto"/>
          <w:sz w:val="32"/>
          <w:szCs w:val="32"/>
        </w:rPr>
        <w:t>取对口帮扶、产业发展补贴等资金100余万元，</w:t>
      </w:r>
      <w:r>
        <w:rPr>
          <w:rFonts w:hint="eastAsia" w:ascii="仿宋_GB2312" w:eastAsia="仿宋_GB2312"/>
          <w:b w:val="0"/>
          <w:bCs w:val="0"/>
          <w:color w:val="auto"/>
          <w:sz w:val="32"/>
          <w:szCs w:val="32"/>
        </w:rPr>
        <w:t>为92户因病、因残、因灾等出现临时性困难的家庭落实临时救助资金47.7万元，编印发</w:t>
      </w:r>
      <w:r>
        <w:rPr>
          <w:rFonts w:hint="eastAsia" w:ascii="仿宋_GB2312" w:eastAsia="仿宋_GB2312"/>
          <w:color w:val="auto"/>
          <w:sz w:val="32"/>
          <w:szCs w:val="32"/>
        </w:rPr>
        <w:t>放产业扶持、慢性病救助、临时救助等8个领域的惠民政策宣传资料8000余份。同时，精准统筹使用项目资金</w:t>
      </w:r>
      <w:r>
        <w:rPr>
          <w:rFonts w:hint="eastAsia" w:ascii="仿宋_GB2312" w:eastAsia="仿宋_GB2312"/>
          <w:color w:val="auto"/>
          <w:sz w:val="32"/>
          <w:szCs w:val="32"/>
          <w:lang w:val="en-US" w:eastAsia="zh-CN"/>
        </w:rPr>
        <w:t>1224.41</w:t>
      </w:r>
      <w:r>
        <w:rPr>
          <w:rFonts w:hint="eastAsia" w:ascii="仿宋_GB2312" w:eastAsia="仿宋_GB2312"/>
          <w:color w:val="auto"/>
          <w:sz w:val="32"/>
          <w:szCs w:val="32"/>
        </w:rPr>
        <w:t>万元，开工建设</w:t>
      </w:r>
      <w:r>
        <w:rPr>
          <w:rFonts w:hint="eastAsia"/>
          <w:color w:val="auto"/>
          <w:sz w:val="32"/>
          <w:szCs w:val="32"/>
          <w:lang w:eastAsia="zh-CN"/>
        </w:rPr>
        <w:t>康乐</w:t>
      </w:r>
      <w:r>
        <w:rPr>
          <w:rFonts w:hint="eastAsia" w:ascii="仿宋_GB2312" w:eastAsia="仿宋_GB2312"/>
          <w:color w:val="auto"/>
          <w:sz w:val="32"/>
          <w:szCs w:val="32"/>
        </w:rPr>
        <w:t>农村饮水安全水质提升工程</w:t>
      </w:r>
      <w:r>
        <w:rPr>
          <w:rFonts w:hint="eastAsia"/>
          <w:color w:val="auto"/>
          <w:sz w:val="32"/>
          <w:szCs w:val="32"/>
          <w:lang w:eastAsia="zh-CN"/>
        </w:rPr>
        <w:t>、</w:t>
      </w:r>
      <w:r>
        <w:rPr>
          <w:rFonts w:hint="eastAsia" w:ascii="仿宋_GB2312" w:eastAsia="仿宋_GB2312"/>
          <w:color w:val="auto"/>
          <w:sz w:val="32"/>
          <w:szCs w:val="32"/>
        </w:rPr>
        <w:t>小瓷窑引水管道及农灌水渠工程、赛鼎村蓄水池建设项目等人畜饮水、农田灌溉、产业发展项目</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项，使</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个</w:t>
      </w:r>
      <w:r>
        <w:rPr>
          <w:rFonts w:hint="eastAsia" w:ascii="仿宋_GB2312" w:eastAsia="仿宋_GB2312"/>
          <w:color w:val="auto"/>
          <w:sz w:val="32"/>
          <w:szCs w:val="32"/>
          <w:lang w:eastAsia="zh-CN"/>
        </w:rPr>
        <w:t>受益</w:t>
      </w:r>
      <w:r>
        <w:rPr>
          <w:rFonts w:hint="eastAsia" w:ascii="仿宋_GB2312" w:eastAsia="仿宋_GB2312"/>
          <w:color w:val="auto"/>
          <w:sz w:val="32"/>
          <w:szCs w:val="32"/>
        </w:rPr>
        <w:t>村发展基础更加夯实，同时为解决核心区搬迁农牧民后续产业发展奠定坚实基础</w:t>
      </w:r>
      <w:r>
        <w:rPr>
          <w:rFonts w:hint="eastAsia"/>
          <w:color w:val="auto"/>
          <w:sz w:val="32"/>
          <w:szCs w:val="32"/>
          <w:lang w:eastAsia="zh-CN"/>
        </w:rPr>
        <w:t>。</w:t>
      </w:r>
      <w:r>
        <w:rPr>
          <w:rFonts w:hint="eastAsia" w:ascii="仿宋_GB2312" w:hAnsi="仿宋_GB2312" w:eastAsia="仿宋_GB2312" w:cs="仿宋_GB2312"/>
          <w:color w:val="auto"/>
          <w:sz w:val="32"/>
          <w:szCs w:val="32"/>
          <w:lang w:eastAsia="zh-CN"/>
        </w:rPr>
        <w:t>加快数字乡村建设，在红石窝村新建4G通信基站4个，新增4G信号覆盖扇区7个，解决盲区覆盖面积117平方公里，新建光缆用户线路11公里，</w:t>
      </w:r>
      <w:r>
        <w:rPr>
          <w:rFonts w:hint="eastAsia" w:ascii="仿宋_GB2312" w:hAnsi="仿宋_GB2312" w:eastAsia="仿宋_GB2312" w:cs="仿宋_GB2312"/>
          <w:color w:val="auto"/>
          <w:sz w:val="32"/>
          <w:szCs w:val="32"/>
          <w:lang w:val="en-US" w:eastAsia="zh-CN"/>
        </w:rPr>
        <w:t>全村74户牧民群众得到受益。</w:t>
      </w:r>
      <w:r>
        <w:rPr>
          <w:rFonts w:hint="eastAsia" w:ascii="楷体" w:hAnsi="楷体" w:eastAsia="楷体" w:cs="楷体"/>
          <w:color w:val="auto"/>
          <w:sz w:val="32"/>
          <w:szCs w:val="32"/>
          <w:lang w:val="en-US" w:eastAsia="zh-CN"/>
        </w:rPr>
        <w:t>三是</w:t>
      </w:r>
      <w:r>
        <w:rPr>
          <w:rFonts w:hint="eastAsia" w:ascii="黑体" w:hAnsi="黑体" w:eastAsia="黑体" w:cs="黑体"/>
          <w:b w:val="0"/>
          <w:bCs w:val="0"/>
          <w:color w:val="auto"/>
          <w:sz w:val="32"/>
          <w:szCs w:val="32"/>
          <w:lang w:val="en-US" w:eastAsia="zh-CN"/>
        </w:rPr>
        <w:t>加快推进乡村示范建设。</w:t>
      </w:r>
      <w:r>
        <w:rPr>
          <w:rFonts w:hint="eastAsia" w:ascii="仿宋_GB2312" w:hAnsi="Times New Roman" w:eastAsia="仿宋_GB2312" w:cs="Times New Roman"/>
          <w:color w:val="auto"/>
          <w:sz w:val="32"/>
          <w:szCs w:val="32"/>
        </w:rPr>
        <w:t>切实加快特色民宿度假区运营步伐。采用民族与现代相融合的装修理念，完成12幢15套民宿室内外装修、装潢，配套建成健康步道、景观水系、休憩广场、标识牌等设施。加大绿化</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美化</w:t>
      </w:r>
      <w:r>
        <w:rPr>
          <w:rFonts w:hint="eastAsia" w:ascii="仿宋_GB2312" w:hAnsi="Times New Roman" w:eastAsia="仿宋_GB2312" w:cs="Times New Roman"/>
          <w:color w:val="auto"/>
          <w:sz w:val="32"/>
          <w:szCs w:val="32"/>
          <w:lang w:eastAsia="zh-CN"/>
        </w:rPr>
        <w:t>、亮化</w:t>
      </w:r>
      <w:r>
        <w:rPr>
          <w:rFonts w:hint="eastAsia" w:ascii="仿宋_GB2312" w:hAnsi="Times New Roman" w:eastAsia="仿宋_GB2312" w:cs="Times New Roman"/>
          <w:color w:val="auto"/>
          <w:sz w:val="32"/>
          <w:szCs w:val="32"/>
        </w:rPr>
        <w:t>建设，完成覆土绿化8000平方米，种植松树、柏树、金叶榆等苗木1500余棵</w:t>
      </w:r>
      <w:r>
        <w:rPr>
          <w:rFonts w:hint="eastAsia" w:ascii="仿宋_GB2312" w:hAnsi="Times New Roman" w:eastAsia="仿宋_GB2312" w:cs="Times New Roman"/>
          <w:color w:val="auto"/>
          <w:sz w:val="32"/>
          <w:szCs w:val="32"/>
          <w:lang w:eastAsia="zh-CN"/>
        </w:rPr>
        <w:t>、安装低杆路灯（地射灯）</w:t>
      </w:r>
      <w:r>
        <w:rPr>
          <w:rFonts w:hint="eastAsia" w:ascii="仿宋_GB2312" w:hAnsi="Times New Roman" w:eastAsia="仿宋_GB2312" w:cs="Times New Roman"/>
          <w:color w:val="auto"/>
          <w:sz w:val="32"/>
          <w:szCs w:val="32"/>
          <w:lang w:val="en-US" w:eastAsia="zh-CN"/>
        </w:rPr>
        <w:t>280余盏</w:t>
      </w:r>
      <w:r>
        <w:rPr>
          <w:rFonts w:hint="eastAsia" w:ascii="仿宋_GB2312" w:hAnsi="Times New Roman" w:eastAsia="仿宋_GB2312" w:cs="Times New Roman"/>
          <w:color w:val="auto"/>
          <w:sz w:val="32"/>
          <w:szCs w:val="32"/>
        </w:rPr>
        <w:t>。着力打造裕固族民俗风情体验苑。以裕固族帐篷营地为载体，以展示民族文化为窗口，完成13座民族帐篷内外民族特色改造布置。持续提升景观风貌，种植花卉色带3</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亩，铺设木质栈道312米，安装防护栏393米，努力将其打造为集民族文化展示、民族歌舞演艺、多彩花卉观赏为一体的民族风情体验苑。全力推进多业态裕固水街开放迎客。新启用800平方米康乐草原游客接待中心，配套停车场、旅游公厕等服务设施；新开放特色餐饮场所2处7家，有效保障了游客用餐需要；建成686平方米裕固族民俗文化传承体验中心1处，多渠道征集布展作品300余件，以裕固族历史文化为脉络完成双层6个单位作品布展；新开放民族团结摄影展馆1处，共收集展示各民族共同团结奋斗</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共同繁荣发展的摄影书画作品共200余幅，着力打造张肃公路民族团结新亮点。因地制宜打造裕固水街环形休闲娱乐带。坚持从“游客的角度”出发，充分利用水街人工湖等现有旅游设施资源，引进水街垂钓体验项目，依湖扎设休闲太阳伞10顶，切实满足游客夏季休闲度假需要，努力补齐旅游服务短板。完成覆土绿化1</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lang w:eastAsia="zh-CN"/>
        </w:rPr>
        <w:t>万</w:t>
      </w:r>
      <w:r>
        <w:rPr>
          <w:rFonts w:hint="eastAsia" w:ascii="仿宋_GB2312" w:hAnsi="Times New Roman" w:eastAsia="仿宋_GB2312" w:cs="Times New Roman"/>
          <w:color w:val="auto"/>
          <w:sz w:val="32"/>
          <w:szCs w:val="32"/>
        </w:rPr>
        <w:t>平方米，种植刺柏、馒头柳、垂榆等苗木9000余棵（株），种植鸢尾、牵牛花1.3万余株，敷设绿化管道4.7公里。全力配合推进S18线和丹霞轨道交通复工建设，积极做好复产复工外来人员管控工作，努力推进特色集镇与周边景区道路畅通、设施联通、客流互通。</w:t>
      </w:r>
      <w:r>
        <w:rPr>
          <w:rFonts w:hint="eastAsia" w:ascii="黑体" w:hAnsi="黑体" w:eastAsia="黑体" w:cs="黑体"/>
          <w:b w:val="0"/>
          <w:bCs w:val="0"/>
          <w:color w:val="auto"/>
          <w:sz w:val="32"/>
          <w:szCs w:val="32"/>
          <w:lang w:val="en-US" w:eastAsia="zh-CN"/>
        </w:rPr>
        <w:t>四是不断改善乡村人居环境。</w:t>
      </w:r>
      <w:r>
        <w:rPr>
          <w:rFonts w:hint="eastAsia" w:ascii="仿宋_GB2312" w:hAnsi="Times New Roman" w:eastAsia="仿宋_GB2312" w:cs="Times New Roman"/>
          <w:color w:val="auto"/>
          <w:sz w:val="32"/>
          <w:szCs w:val="32"/>
        </w:rPr>
        <w:t>聚焦农牧村“脏、乱、烂、散、臭”等突出问题，以人居环境“百日攻坚”行动为抓手，紧扣“四个目标”（实现城乡风貌一体化、建设“绿色长廊示范村”、打造“牧区脱贫新面貌”、推进“牧区景区双优化”），着力消除影响脱贫攻坚直观感受的“视觉贫困”。</w:t>
      </w:r>
      <w:r>
        <w:rPr>
          <w:rFonts w:hint="eastAsia" w:ascii="仿宋_GB2312" w:hAnsi="Times New Roman" w:eastAsia="仿宋_GB2312" w:cs="Times New Roman"/>
          <w:b w:val="0"/>
          <w:bCs w:val="0"/>
          <w:color w:val="auto"/>
          <w:sz w:val="32"/>
          <w:szCs w:val="32"/>
        </w:rPr>
        <w:t>共清理“三堆”1</w:t>
      </w:r>
      <w:r>
        <w:rPr>
          <w:rFonts w:hint="eastAsia" w:ascii="仿宋_GB2312" w:hAnsi="Times New Roman" w:eastAsia="仿宋_GB2312" w:cs="Times New Roman"/>
          <w:b w:val="0"/>
          <w:bCs w:val="0"/>
          <w:color w:val="auto"/>
          <w:sz w:val="32"/>
          <w:szCs w:val="32"/>
          <w:lang w:val="en-US" w:eastAsia="zh-CN"/>
        </w:rPr>
        <w:t>5</w:t>
      </w:r>
      <w:r>
        <w:rPr>
          <w:rFonts w:hint="eastAsia" w:ascii="仿宋_GB2312" w:hAnsi="Times New Roman" w:eastAsia="仿宋_GB2312" w:cs="Times New Roman"/>
          <w:b w:val="0"/>
          <w:bCs w:val="0"/>
          <w:color w:val="auto"/>
          <w:sz w:val="32"/>
          <w:szCs w:val="32"/>
        </w:rPr>
        <w:t>00余堆，依法拆除废弃房屋253间6730平方米，拆除残垣断壁</w:t>
      </w:r>
      <w:r>
        <w:rPr>
          <w:rFonts w:hint="eastAsia" w:ascii="仿宋_GB2312" w:hAnsi="Times New Roman" w:eastAsia="仿宋_GB2312" w:cs="Times New Roman"/>
          <w:b w:val="0"/>
          <w:bCs w:val="0"/>
          <w:color w:val="auto"/>
          <w:sz w:val="32"/>
          <w:szCs w:val="32"/>
          <w:lang w:val="en-US" w:eastAsia="zh-CN"/>
        </w:rPr>
        <w:t>1143</w:t>
      </w:r>
      <w:r>
        <w:rPr>
          <w:rFonts w:hint="eastAsia" w:ascii="仿宋_GB2312" w:hAnsi="Times New Roman" w:eastAsia="仿宋_GB2312" w:cs="Times New Roman"/>
          <w:b w:val="0"/>
          <w:bCs w:val="0"/>
          <w:color w:val="auto"/>
          <w:sz w:val="32"/>
          <w:szCs w:val="32"/>
        </w:rPr>
        <w:t>米，修缮粉刷破旧房屋55间3535平方米，改造文化院墙693平方米，清运各类垃圾1</w:t>
      </w:r>
      <w:r>
        <w:rPr>
          <w:rFonts w:hint="eastAsia" w:ascii="仿宋_GB2312" w:hAnsi="Times New Roman" w:eastAsia="仿宋_GB2312" w:cs="Times New Roman"/>
          <w:b w:val="0"/>
          <w:bCs w:val="0"/>
          <w:color w:val="auto"/>
          <w:sz w:val="32"/>
          <w:szCs w:val="32"/>
          <w:lang w:val="en-US" w:eastAsia="zh-CN"/>
        </w:rPr>
        <w:t>4</w:t>
      </w:r>
      <w:r>
        <w:rPr>
          <w:rFonts w:hint="eastAsia" w:ascii="仿宋_GB2312" w:hAnsi="Times New Roman" w:eastAsia="仿宋_GB2312" w:cs="Times New Roman"/>
          <w:b w:val="0"/>
          <w:bCs w:val="0"/>
          <w:color w:val="auto"/>
          <w:sz w:val="32"/>
          <w:szCs w:val="32"/>
        </w:rPr>
        <w:t>00余吨，调用挖机、铲车等大型机械</w:t>
      </w:r>
      <w:r>
        <w:rPr>
          <w:rFonts w:hint="eastAsia" w:ascii="仿宋_GB2312" w:hAnsi="Times New Roman" w:eastAsia="仿宋_GB2312" w:cs="Times New Roman"/>
          <w:b w:val="0"/>
          <w:bCs w:val="0"/>
          <w:color w:val="auto"/>
          <w:sz w:val="32"/>
          <w:szCs w:val="32"/>
          <w:lang w:val="en-US" w:eastAsia="zh-CN"/>
        </w:rPr>
        <w:t>4</w:t>
      </w:r>
      <w:r>
        <w:rPr>
          <w:rFonts w:hint="eastAsia" w:ascii="仿宋_GB2312" w:hAnsi="Times New Roman" w:eastAsia="仿宋_GB2312" w:cs="Times New Roman"/>
          <w:b w:val="0"/>
          <w:bCs w:val="0"/>
          <w:color w:val="auto"/>
          <w:sz w:val="32"/>
          <w:szCs w:val="32"/>
        </w:rPr>
        <w:t>0多辆，累计投入资金50余万元，确保了整</w:t>
      </w:r>
      <w:r>
        <w:rPr>
          <w:rFonts w:hint="eastAsia" w:ascii="仿宋_GB2312" w:hAnsi="Times New Roman" w:eastAsia="仿宋_GB2312" w:cs="Times New Roman"/>
          <w:color w:val="auto"/>
          <w:sz w:val="32"/>
          <w:szCs w:val="32"/>
        </w:rPr>
        <w:t>治工作持续推进“拆”，彻底整治“脏”，全面清理“乱”。全力推进“厕所革命”。因地制宜，合理选型，分类推进，</w:t>
      </w:r>
      <w:r>
        <w:rPr>
          <w:rFonts w:hint="eastAsia" w:ascii="仿宋_GB2312" w:hAnsi="Times New Roman" w:eastAsia="仿宋_GB2312" w:cs="Times New Roman"/>
          <w:b w:val="0"/>
          <w:bCs w:val="0"/>
          <w:color w:val="auto"/>
          <w:sz w:val="32"/>
          <w:szCs w:val="32"/>
        </w:rPr>
        <w:t>改造卫生户厕</w:t>
      </w:r>
      <w:r>
        <w:rPr>
          <w:rFonts w:hint="eastAsia" w:ascii="仿宋_GB2312" w:hAnsi="Times New Roman" w:eastAsia="仿宋_GB2312" w:cs="Times New Roman"/>
          <w:b w:val="0"/>
          <w:bCs w:val="0"/>
          <w:color w:val="auto"/>
          <w:sz w:val="32"/>
          <w:szCs w:val="32"/>
          <w:lang w:val="en-US" w:eastAsia="zh-CN"/>
        </w:rPr>
        <w:t>80</w:t>
      </w:r>
      <w:r>
        <w:rPr>
          <w:rFonts w:hint="eastAsia" w:ascii="仿宋_GB2312" w:hAnsi="Times New Roman" w:eastAsia="仿宋_GB2312" w:cs="Times New Roman"/>
          <w:b w:val="0"/>
          <w:bCs w:val="0"/>
          <w:color w:val="auto"/>
          <w:sz w:val="32"/>
          <w:szCs w:val="32"/>
        </w:rPr>
        <w:t>座，</w:t>
      </w:r>
      <w:r>
        <w:rPr>
          <w:rFonts w:hint="eastAsia" w:ascii="仿宋_GB2312" w:hAnsi="Times New Roman" w:eastAsia="仿宋_GB2312" w:cs="Times New Roman"/>
          <w:b w:val="0"/>
          <w:bCs w:val="0"/>
          <w:color w:val="auto"/>
          <w:sz w:val="32"/>
          <w:szCs w:val="32"/>
          <w:lang w:eastAsia="zh-CN"/>
        </w:rPr>
        <w:t>新建（在建）</w:t>
      </w:r>
      <w:r>
        <w:rPr>
          <w:rFonts w:hint="eastAsia" w:ascii="仿宋_GB2312" w:hAnsi="Times New Roman" w:eastAsia="仿宋_GB2312" w:cs="Times New Roman"/>
          <w:b w:val="0"/>
          <w:bCs w:val="0"/>
          <w:color w:val="auto"/>
          <w:sz w:val="32"/>
          <w:szCs w:val="32"/>
        </w:rPr>
        <w:t>村级卫生公厕</w:t>
      </w:r>
      <w:r>
        <w:rPr>
          <w:rFonts w:hint="eastAsia" w:ascii="仿宋_GB2312" w:hAnsi="Times New Roman" w:eastAsia="仿宋_GB2312" w:cs="Times New Roman"/>
          <w:b w:val="0"/>
          <w:bCs w:val="0"/>
          <w:color w:val="auto"/>
          <w:sz w:val="32"/>
          <w:szCs w:val="32"/>
          <w:lang w:val="en-US" w:eastAsia="zh-CN"/>
        </w:rPr>
        <w:t>2</w:t>
      </w:r>
      <w:r>
        <w:rPr>
          <w:rFonts w:hint="eastAsia" w:ascii="仿宋_GB2312" w:hAnsi="Times New Roman" w:eastAsia="仿宋_GB2312" w:cs="Times New Roman"/>
          <w:b w:val="0"/>
          <w:bCs w:val="0"/>
          <w:color w:val="auto"/>
          <w:sz w:val="32"/>
          <w:szCs w:val="32"/>
        </w:rPr>
        <w:t>座，</w:t>
      </w:r>
      <w:r>
        <w:rPr>
          <w:rFonts w:hint="eastAsia" w:ascii="仿宋_GB2312" w:hAnsi="Times New Roman" w:eastAsia="仿宋_GB2312" w:cs="Times New Roman"/>
          <w:b w:val="0"/>
          <w:bCs w:val="0"/>
          <w:color w:val="auto"/>
          <w:sz w:val="32"/>
          <w:szCs w:val="32"/>
          <w:lang w:eastAsia="zh-CN"/>
        </w:rPr>
        <w:t>高质量、高要求</w:t>
      </w:r>
      <w:r>
        <w:rPr>
          <w:rFonts w:hint="eastAsia" w:ascii="仿宋_GB2312" w:hAnsi="Times New Roman" w:eastAsia="仿宋_GB2312" w:cs="Times New Roman"/>
          <w:b w:val="0"/>
          <w:bCs w:val="0"/>
          <w:color w:val="auto"/>
          <w:sz w:val="32"/>
          <w:szCs w:val="32"/>
        </w:rPr>
        <w:t>完成</w:t>
      </w:r>
      <w:r>
        <w:rPr>
          <w:rFonts w:hint="eastAsia" w:ascii="仿宋_GB2312" w:hAnsi="Times New Roman" w:eastAsia="仿宋_GB2312" w:cs="Times New Roman"/>
          <w:b w:val="0"/>
          <w:bCs w:val="0"/>
          <w:color w:val="auto"/>
          <w:sz w:val="32"/>
          <w:szCs w:val="32"/>
          <w:lang w:eastAsia="zh-CN"/>
        </w:rPr>
        <w:t>了</w:t>
      </w:r>
      <w:r>
        <w:rPr>
          <w:rFonts w:hint="eastAsia" w:ascii="仿宋_GB2312" w:hAnsi="Times New Roman" w:eastAsia="仿宋_GB2312" w:cs="Times New Roman"/>
          <w:b w:val="0"/>
          <w:bCs w:val="0"/>
          <w:color w:val="auto"/>
          <w:sz w:val="32"/>
          <w:szCs w:val="32"/>
        </w:rPr>
        <w:t>全年</w:t>
      </w:r>
      <w:r>
        <w:rPr>
          <w:rFonts w:hint="eastAsia" w:ascii="仿宋_GB2312" w:hAnsi="Times New Roman" w:eastAsia="仿宋_GB2312" w:cs="Times New Roman"/>
          <w:b w:val="0"/>
          <w:bCs w:val="0"/>
          <w:color w:val="auto"/>
          <w:sz w:val="32"/>
          <w:szCs w:val="32"/>
          <w:lang w:eastAsia="zh-CN"/>
        </w:rPr>
        <w:t>改造</w:t>
      </w:r>
      <w:r>
        <w:rPr>
          <w:rFonts w:hint="eastAsia" w:ascii="仿宋_GB2312" w:hAnsi="Times New Roman" w:eastAsia="仿宋_GB2312" w:cs="Times New Roman"/>
          <w:b w:val="0"/>
          <w:bCs w:val="0"/>
          <w:color w:val="auto"/>
          <w:sz w:val="32"/>
          <w:szCs w:val="32"/>
        </w:rPr>
        <w:t>任务。</w:t>
      </w:r>
      <w:r>
        <w:rPr>
          <w:rFonts w:hint="eastAsia" w:ascii="黑体" w:hAnsi="黑体" w:eastAsia="黑体" w:cs="黑体"/>
          <w:b w:val="0"/>
          <w:bCs w:val="0"/>
          <w:color w:val="auto"/>
          <w:sz w:val="32"/>
          <w:szCs w:val="32"/>
          <w:lang w:eastAsia="zh-CN"/>
        </w:rPr>
        <w:t>五是</w:t>
      </w:r>
      <w:r>
        <w:rPr>
          <w:rFonts w:hint="eastAsia" w:ascii="黑体" w:hAnsi="黑体" w:eastAsia="黑体" w:cs="黑体"/>
          <w:b w:val="0"/>
          <w:bCs w:val="0"/>
          <w:color w:val="auto"/>
          <w:sz w:val="32"/>
          <w:szCs w:val="32"/>
          <w:lang w:val="en-US" w:eastAsia="zh-CN"/>
        </w:rPr>
        <w:t>稳步推进产业提质增效。</w:t>
      </w:r>
      <w:r>
        <w:rPr>
          <w:rFonts w:hint="eastAsia" w:ascii="仿宋_GB2312" w:hAnsi="仿宋_GB2312" w:eastAsia="仿宋_GB2312" w:cs="仿宋_GB2312"/>
          <w:b/>
          <w:bCs w:val="0"/>
          <w:color w:val="auto"/>
          <w:spacing w:val="0"/>
          <w:sz w:val="32"/>
          <w:szCs w:val="32"/>
          <w:lang w:eastAsia="zh-CN"/>
        </w:rPr>
        <w:t>绿色畜牧业方面，</w:t>
      </w:r>
      <w:r>
        <w:rPr>
          <w:rFonts w:hint="eastAsia" w:ascii="仿宋_GB2312" w:hAnsi="Times New Roman" w:eastAsia="仿宋_GB2312" w:cs="Times New Roman"/>
          <w:snapToGrid w:val="0"/>
          <w:color w:val="auto"/>
          <w:kern w:val="0"/>
          <w:sz w:val="32"/>
          <w:szCs w:val="32"/>
        </w:rPr>
        <w:t>全镇细毛羊饲养量达到4.65万只</w:t>
      </w:r>
      <w:r>
        <w:rPr>
          <w:rFonts w:hint="eastAsia" w:ascii="仿宋_GB2312" w:hAnsi="Times New Roman" w:eastAsia="仿宋_GB2312" w:cs="Times New Roman"/>
          <w:snapToGrid w:val="0"/>
          <w:color w:val="auto"/>
          <w:kern w:val="0"/>
          <w:sz w:val="32"/>
          <w:szCs w:val="32"/>
          <w:lang w:eastAsia="zh-CN"/>
        </w:rPr>
        <w:t>；</w:t>
      </w:r>
      <w:r>
        <w:rPr>
          <w:rFonts w:hint="eastAsia" w:ascii="仿宋_GB2312" w:hAnsi="Times New Roman" w:eastAsia="仿宋_GB2312" w:cs="Times New Roman"/>
          <w:snapToGrid w:val="0"/>
          <w:color w:val="auto"/>
          <w:kern w:val="0"/>
          <w:sz w:val="32"/>
          <w:szCs w:val="32"/>
        </w:rPr>
        <w:t>加快推进高原牦牛和浅山区肉牛养殖建设，全镇培育养牛20头以上的规模养殖大户21户，全镇肉牛饲养量达到1087头</w:t>
      </w:r>
      <w:r>
        <w:rPr>
          <w:rFonts w:hint="eastAsia" w:ascii="仿宋_GB2312" w:hAnsi="Times New Roman" w:eastAsia="仿宋_GB2312" w:cs="Times New Roman"/>
          <w:snapToGrid w:val="0"/>
          <w:color w:val="auto"/>
          <w:kern w:val="0"/>
          <w:sz w:val="32"/>
          <w:szCs w:val="32"/>
          <w:lang w:eastAsia="zh-CN"/>
        </w:rPr>
        <w:t>；努力</w:t>
      </w:r>
      <w:r>
        <w:rPr>
          <w:rFonts w:hint="eastAsia" w:ascii="仿宋_GB2312" w:hAnsi="Times New Roman" w:eastAsia="仿宋_GB2312" w:cs="Times New Roman"/>
          <w:snapToGrid w:val="0"/>
          <w:color w:val="auto"/>
          <w:kern w:val="0"/>
          <w:sz w:val="32"/>
          <w:szCs w:val="32"/>
        </w:rPr>
        <w:t>巩固扩大全镇优质牧草种植，全镇种植牧草2095.72亩</w:t>
      </w:r>
      <w:r>
        <w:rPr>
          <w:rFonts w:hint="eastAsia" w:ascii="仿宋_GB2312" w:hAnsi="Times New Roman" w:eastAsia="仿宋_GB2312" w:cs="Times New Roman"/>
          <w:snapToGrid w:val="0"/>
          <w:color w:val="auto"/>
          <w:kern w:val="0"/>
          <w:sz w:val="32"/>
          <w:szCs w:val="32"/>
          <w:lang w:eastAsia="zh-CN"/>
        </w:rPr>
        <w:t>。全</w:t>
      </w:r>
      <w:r>
        <w:rPr>
          <w:rFonts w:hint="eastAsia" w:ascii="仿宋_GB2312" w:hAnsi="Times New Roman" w:eastAsia="仿宋_GB2312" w:cs="Times New Roman"/>
          <w:snapToGrid w:val="0"/>
          <w:color w:val="auto"/>
          <w:kern w:val="0"/>
          <w:sz w:val="32"/>
          <w:szCs w:val="32"/>
        </w:rPr>
        <w:t>面落实绿色畜牧业扶持政策，</w:t>
      </w:r>
      <w:r>
        <w:rPr>
          <w:rFonts w:hint="eastAsia" w:ascii="仿宋_GB2312" w:hAnsi="Times New Roman" w:eastAsia="仿宋_GB2312" w:cs="Times New Roman"/>
          <w:snapToGrid w:val="0"/>
          <w:color w:val="auto"/>
          <w:kern w:val="0"/>
          <w:sz w:val="32"/>
          <w:szCs w:val="32"/>
          <w:lang w:eastAsia="zh-CN"/>
        </w:rPr>
        <w:t>引进优质种公羊</w:t>
      </w:r>
      <w:r>
        <w:rPr>
          <w:rFonts w:hint="eastAsia" w:ascii="仿宋_GB2312" w:hAnsi="Times New Roman" w:eastAsia="仿宋_GB2312" w:cs="Times New Roman"/>
          <w:snapToGrid w:val="0"/>
          <w:color w:val="auto"/>
          <w:kern w:val="0"/>
          <w:sz w:val="32"/>
          <w:szCs w:val="32"/>
          <w:lang w:val="en-US" w:eastAsia="zh-CN"/>
        </w:rPr>
        <w:t>70只，落实补贴资金10.52万元；</w:t>
      </w:r>
      <w:r>
        <w:rPr>
          <w:rFonts w:hint="eastAsia" w:ascii="仿宋_GB2312" w:hAnsi="仿宋_GB2312" w:eastAsia="仿宋_GB2312" w:cs="仿宋_GB2312"/>
          <w:b w:val="0"/>
          <w:bCs w:val="0"/>
          <w:color w:val="auto"/>
          <w:sz w:val="32"/>
          <w:szCs w:val="32"/>
          <w:lang w:val="en-US" w:eastAsia="zh-CN"/>
        </w:rPr>
        <w:t>落实品种肉牛养殖贴息贷款399万元（25户）、特级（一级）优质种公羊补贴3.04万元（133户152只）、品种肉牛能繁母牛补贴 10.72万元（81户536头）。</w:t>
      </w:r>
      <w:r>
        <w:rPr>
          <w:rFonts w:hint="eastAsia" w:ascii="仿宋_GB2312" w:hAnsi="仿宋_GB2312" w:eastAsia="仿宋_GB2312" w:cs="仿宋_GB2312"/>
          <w:color w:val="auto"/>
          <w:sz w:val="32"/>
          <w:szCs w:val="32"/>
        </w:rPr>
        <w:t>推广</w:t>
      </w:r>
      <w:r>
        <w:rPr>
          <w:rFonts w:hint="eastAsia" w:ascii="仿宋_GB2312" w:hAnsi="仿宋_GB2312" w:eastAsia="仿宋_GB2312" w:cs="仿宋_GB2312"/>
          <w:bCs/>
          <w:color w:val="auto"/>
          <w:kern w:val="4"/>
          <w:sz w:val="32"/>
          <w:szCs w:val="32"/>
        </w:rPr>
        <w:t>机械剪毛3.9万只，</w:t>
      </w:r>
      <w:r>
        <w:rPr>
          <w:rFonts w:hint="eastAsia" w:ascii="仿宋_GB2312" w:hAnsi="仿宋_GB2312" w:eastAsia="仿宋_GB2312" w:cs="仿宋_GB2312"/>
          <w:color w:val="auto"/>
          <w:sz w:val="32"/>
          <w:szCs w:val="32"/>
        </w:rPr>
        <w:t>组织出售细羊毛</w:t>
      </w:r>
      <w:r>
        <w:rPr>
          <w:rFonts w:hint="eastAsia" w:ascii="仿宋_GB2312" w:hAnsi="仿宋_GB2312" w:eastAsia="仿宋_GB2312" w:cs="仿宋_GB2312"/>
          <w:color w:val="auto"/>
          <w:sz w:val="32"/>
          <w:szCs w:val="32"/>
          <w:lang w:val="en-US" w:eastAsia="zh-CN"/>
        </w:rPr>
        <w:t>121.66</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Times New Roman"/>
          <w:snapToGrid w:val="0"/>
          <w:color w:val="auto"/>
          <w:kern w:val="0"/>
          <w:sz w:val="32"/>
          <w:szCs w:val="32"/>
        </w:rPr>
        <w:t>落实补助</w:t>
      </w:r>
      <w:r>
        <w:rPr>
          <w:rFonts w:hint="eastAsia" w:ascii="仿宋_GB2312" w:hAnsi="Times New Roman" w:eastAsia="仿宋_GB2312" w:cs="Times New Roman"/>
          <w:snapToGrid w:val="0"/>
          <w:color w:val="auto"/>
          <w:kern w:val="0"/>
          <w:sz w:val="32"/>
          <w:szCs w:val="32"/>
          <w:lang w:eastAsia="zh-CN"/>
        </w:rPr>
        <w:t>资金</w:t>
      </w:r>
      <w:r>
        <w:rPr>
          <w:rFonts w:hint="eastAsia" w:ascii="仿宋_GB2312" w:hAnsi="Times New Roman" w:eastAsia="仿宋_GB2312" w:cs="Times New Roman"/>
          <w:snapToGrid w:val="0"/>
          <w:color w:val="auto"/>
          <w:kern w:val="0"/>
          <w:sz w:val="32"/>
          <w:szCs w:val="32"/>
          <w:lang w:val="en-US" w:eastAsia="zh-CN"/>
        </w:rPr>
        <w:t>36.5万元（</w:t>
      </w:r>
      <w:r>
        <w:rPr>
          <w:rFonts w:hint="eastAsia" w:ascii="仿宋_GB2312" w:hAnsi="Times New Roman" w:eastAsia="仿宋_GB2312" w:cs="Times New Roman"/>
          <w:snapToGrid w:val="0"/>
          <w:color w:val="auto"/>
          <w:kern w:val="0"/>
          <w:sz w:val="32"/>
          <w:szCs w:val="32"/>
        </w:rPr>
        <w:t>169户33019只</w:t>
      </w:r>
      <w:r>
        <w:rPr>
          <w:rFonts w:hint="eastAsia" w:ascii="仿宋_GB2312" w:hAnsi="Times New Roman" w:eastAsia="仿宋_GB2312" w:cs="Times New Roman"/>
          <w:snapToGrid w:val="0"/>
          <w:color w:val="auto"/>
          <w:kern w:val="0"/>
          <w:sz w:val="32"/>
          <w:szCs w:val="32"/>
          <w:lang w:val="en-US" w:eastAsia="zh-CN"/>
        </w:rPr>
        <w:t>）。持续扩大牛羊保险覆盖面，</w:t>
      </w:r>
      <w:r>
        <w:rPr>
          <w:rFonts w:hint="eastAsia" w:ascii="仿宋_GB2312" w:hAnsi="Times New Roman" w:eastAsia="仿宋_GB2312" w:cs="Times New Roman"/>
          <w:snapToGrid w:val="0"/>
          <w:color w:val="auto"/>
          <w:kern w:val="0"/>
          <w:sz w:val="32"/>
          <w:szCs w:val="32"/>
        </w:rPr>
        <w:t>全镇</w:t>
      </w:r>
      <w:r>
        <w:rPr>
          <w:rFonts w:hint="eastAsia" w:ascii="仿宋_GB2312" w:hAnsi="Times New Roman" w:eastAsia="仿宋_GB2312" w:cs="Times New Roman"/>
          <w:snapToGrid w:val="0"/>
          <w:color w:val="auto"/>
          <w:kern w:val="0"/>
          <w:sz w:val="32"/>
          <w:szCs w:val="32"/>
          <w:lang w:eastAsia="zh-CN"/>
        </w:rPr>
        <w:t>牛、羊投保率分别达到</w:t>
      </w:r>
      <w:r>
        <w:rPr>
          <w:rFonts w:hint="eastAsia" w:ascii="仿宋_GB2312" w:hAnsi="Times New Roman" w:eastAsia="仿宋_GB2312" w:cs="Times New Roman"/>
          <w:snapToGrid w:val="0"/>
          <w:color w:val="auto"/>
          <w:kern w:val="0"/>
          <w:sz w:val="32"/>
          <w:szCs w:val="32"/>
        </w:rPr>
        <w:t>107.4%</w:t>
      </w:r>
      <w:r>
        <w:rPr>
          <w:rFonts w:hint="eastAsia" w:ascii="仿宋_GB2312" w:hAnsi="Times New Roman" w:eastAsia="仿宋_GB2312" w:cs="Times New Roman"/>
          <w:snapToGrid w:val="0"/>
          <w:color w:val="auto"/>
          <w:kern w:val="0"/>
          <w:sz w:val="32"/>
          <w:szCs w:val="32"/>
          <w:lang w:eastAsia="zh-CN"/>
        </w:rPr>
        <w:t>、</w:t>
      </w:r>
      <w:r>
        <w:rPr>
          <w:rFonts w:hint="eastAsia" w:ascii="仿宋_GB2312" w:hAnsi="Times New Roman" w:eastAsia="仿宋_GB2312" w:cs="Times New Roman"/>
          <w:snapToGrid w:val="0"/>
          <w:color w:val="auto"/>
          <w:kern w:val="0"/>
          <w:sz w:val="32"/>
          <w:szCs w:val="32"/>
        </w:rPr>
        <w:t>83.4%。</w:t>
      </w:r>
      <w:r>
        <w:rPr>
          <w:rFonts w:hint="eastAsia" w:ascii="仿宋_GB2312" w:hAnsi="Times New Roman" w:eastAsia="仿宋_GB2312" w:cs="Times New Roman"/>
          <w:snapToGrid w:val="0"/>
          <w:color w:val="auto"/>
          <w:kern w:val="0"/>
          <w:sz w:val="32"/>
          <w:szCs w:val="32"/>
          <w:lang w:eastAsia="zh-CN"/>
        </w:rPr>
        <w:t>继续完善基础设施，</w:t>
      </w:r>
      <w:r>
        <w:rPr>
          <w:rFonts w:hint="eastAsia" w:ascii="仿宋_GB2312" w:hAnsi="仿宋_GB2312" w:eastAsia="仿宋_GB2312" w:cs="仿宋_GB2312"/>
          <w:b w:val="0"/>
          <w:bCs w:val="0"/>
          <w:color w:val="auto"/>
          <w:sz w:val="32"/>
          <w:szCs w:val="32"/>
          <w:lang w:val="en-US" w:eastAsia="zh-CN"/>
        </w:rPr>
        <w:t>建成无害化处理池10座、固定式动物防疫注射栏14座、高标准多功能剪毛棚2座，牲畜舍饲半舍饲率达到76%以上。扎实做好</w:t>
      </w:r>
      <w:r>
        <w:rPr>
          <w:rFonts w:hint="eastAsia" w:ascii="仿宋_GB2312" w:hAnsi="仿宋_GB2312" w:eastAsia="仿宋_GB2312" w:cs="仿宋_GB2312"/>
          <w:b w:val="0"/>
          <w:bCs w:val="0"/>
          <w:color w:val="auto"/>
          <w:spacing w:val="-2"/>
          <w:position w:val="-2"/>
          <w:sz w:val="32"/>
          <w:szCs w:val="32"/>
          <w:lang w:eastAsia="zh-CN"/>
        </w:rPr>
        <w:t>动物疫病防控和检疫工作，重大疫病免疫密度达到</w:t>
      </w:r>
      <w:r>
        <w:rPr>
          <w:rFonts w:hint="eastAsia" w:ascii="仿宋_GB2312" w:hAnsi="仿宋_GB2312" w:eastAsia="仿宋_GB2312" w:cs="仿宋_GB2312"/>
          <w:b w:val="0"/>
          <w:bCs w:val="0"/>
          <w:color w:val="auto"/>
          <w:spacing w:val="-2"/>
          <w:position w:val="-2"/>
          <w:sz w:val="32"/>
          <w:szCs w:val="32"/>
          <w:lang w:val="en-US" w:eastAsia="zh-CN"/>
        </w:rPr>
        <w:t>98%以上，</w:t>
      </w:r>
      <w:r>
        <w:rPr>
          <w:rFonts w:hint="eastAsia" w:ascii="仿宋_GB2312" w:hAnsi="仿宋_GB2312" w:eastAsia="仿宋_GB2312" w:cs="仿宋_GB2312"/>
          <w:bCs/>
          <w:color w:val="auto"/>
          <w:spacing w:val="4"/>
          <w:kern w:val="4"/>
          <w:sz w:val="32"/>
          <w:szCs w:val="32"/>
        </w:rPr>
        <w:t>检疫出栏牲畜</w:t>
      </w:r>
      <w:r>
        <w:rPr>
          <w:rFonts w:hint="eastAsia" w:ascii="仿宋_GB2312" w:hAnsi="仿宋_GB2312" w:eastAsia="仿宋_GB2312" w:cs="仿宋_GB2312"/>
          <w:bCs/>
          <w:color w:val="auto"/>
          <w:spacing w:val="4"/>
          <w:kern w:val="4"/>
          <w:sz w:val="32"/>
          <w:szCs w:val="32"/>
          <w:lang w:val="en-US" w:eastAsia="zh-CN"/>
        </w:rPr>
        <w:t>3.54万</w:t>
      </w:r>
      <w:r>
        <w:rPr>
          <w:rFonts w:hint="eastAsia" w:ascii="仿宋_GB2312" w:hAnsi="仿宋_GB2312" w:eastAsia="仿宋_GB2312" w:cs="仿宋_GB2312"/>
          <w:bCs/>
          <w:color w:val="auto"/>
          <w:spacing w:val="4"/>
          <w:kern w:val="4"/>
          <w:sz w:val="32"/>
          <w:szCs w:val="32"/>
        </w:rPr>
        <w:t>头</w:t>
      </w:r>
      <w:r>
        <w:rPr>
          <w:rFonts w:hint="eastAsia" w:ascii="仿宋_GB2312" w:hAnsi="仿宋_GB2312" w:eastAsia="仿宋_GB2312" w:cs="仿宋_GB2312"/>
          <w:bCs/>
          <w:color w:val="auto"/>
          <w:spacing w:val="4"/>
          <w:kern w:val="4"/>
          <w:sz w:val="32"/>
          <w:szCs w:val="32"/>
          <w:lang w:eastAsia="zh-CN"/>
        </w:rPr>
        <w:t>（只）。</w:t>
      </w:r>
      <w:r>
        <w:rPr>
          <w:rFonts w:hint="eastAsia" w:ascii="仿宋_GB2312" w:hAnsi="仿宋_GB2312" w:eastAsia="仿宋_GB2312" w:cs="仿宋_GB2312"/>
          <w:b/>
          <w:bCs/>
          <w:color w:val="auto"/>
          <w:sz w:val="32"/>
          <w:szCs w:val="32"/>
          <w:lang w:eastAsia="zh-CN"/>
        </w:rPr>
        <w:t>乡村旅游业方面，</w:t>
      </w:r>
      <w:r>
        <w:rPr>
          <w:rFonts w:hint="eastAsia" w:ascii="仿宋_GB2312" w:hAnsi="仿宋_GB2312" w:eastAsia="仿宋_GB2312" w:cs="仿宋_GB2312"/>
          <w:b w:val="0"/>
          <w:bCs w:val="0"/>
          <w:color w:val="auto"/>
          <w:sz w:val="32"/>
          <w:szCs w:val="32"/>
          <w:lang w:eastAsia="zh-CN"/>
        </w:rPr>
        <w:t>持续高位推进裕固族民俗风情体验区建设，民宿度假区、裕固族风情体验苑、裕固水街“三大板块”实现联通运营。</w:t>
      </w:r>
      <w:r>
        <w:rPr>
          <w:rFonts w:hint="eastAsia" w:ascii="仿宋_GB2312" w:hAnsi="仿宋_GB2312" w:eastAsia="仿宋_GB2312" w:cs="仿宋_GB2312"/>
          <w:b w:val="0"/>
          <w:bCs w:val="0"/>
          <w:color w:val="auto"/>
          <w:sz w:val="32"/>
          <w:szCs w:val="32"/>
          <w:lang w:val="en-US" w:eastAsia="zh-CN"/>
        </w:rPr>
        <w:t>榆木庄村被评为省级优秀乡村旅游示范村，并被列入全国乡村旅游重点村名录。加快发展红色旅游。</w:t>
      </w:r>
      <w:r>
        <w:rPr>
          <w:rFonts w:hint="eastAsia" w:ascii="仿宋_GB2312" w:hAnsi="仿宋_GB2312" w:eastAsia="仿宋_GB2312" w:cs="仿宋_GB2312"/>
          <w:color w:val="auto"/>
          <w:sz w:val="32"/>
          <w:szCs w:val="32"/>
          <w:lang w:val="en-US" w:eastAsia="zh-CN"/>
        </w:rPr>
        <w:t>以马场滩、康隆寺、石窝山等红西路军在肃南境内的战斗历程为主线，充分挖掘红西路军战斗遗址、革命遗址、纪念场所等红色教育资源，强化氛围营造、完善基础设施，打造“红军之家”、红军食堂、红军商店各1处，使红石窝村红色教育加快融入全县红色教育重点示范基地。</w:t>
      </w:r>
      <w:r>
        <w:rPr>
          <w:rFonts w:hint="eastAsia" w:ascii="仿宋_GB2312" w:hAnsi="仿宋_GB2312" w:eastAsia="仿宋_GB2312" w:cs="仿宋_GB2312"/>
          <w:b w:val="0"/>
          <w:bCs w:val="0"/>
          <w:color w:val="auto"/>
          <w:sz w:val="32"/>
          <w:szCs w:val="32"/>
          <w:lang w:val="en-US" w:eastAsia="zh-CN"/>
        </w:rPr>
        <w:t>至目前，已培育农（牧）家乐15家（其中：三星级5家、四星级1家）、餐饮饭店20家、购物点17家，</w:t>
      </w:r>
      <w:r>
        <w:rPr>
          <w:rFonts w:hint="eastAsia" w:ascii="仿宋_GB2312" w:hAnsi="仿宋" w:eastAsia="仿宋_GB2312" w:cs="Times New Roman"/>
          <w:color w:val="auto"/>
          <w:sz w:val="32"/>
          <w:szCs w:val="32"/>
        </w:rPr>
        <w:t>培训旅游从业人员1</w:t>
      </w:r>
      <w:r>
        <w:rPr>
          <w:rFonts w:hint="eastAsia" w:ascii="仿宋_GB2312" w:hAnsi="仿宋" w:eastAsia="仿宋_GB2312" w:cs="Times New Roman"/>
          <w:color w:val="auto"/>
          <w:sz w:val="32"/>
          <w:szCs w:val="32"/>
          <w:lang w:val="en-US" w:eastAsia="zh-CN"/>
        </w:rPr>
        <w:t>00</w:t>
      </w:r>
      <w:r>
        <w:rPr>
          <w:rFonts w:hint="eastAsia" w:ascii="仿宋_GB2312" w:hAnsi="仿宋" w:eastAsia="仿宋_GB2312" w:cs="Times New Roman"/>
          <w:color w:val="auto"/>
          <w:sz w:val="32"/>
          <w:szCs w:val="32"/>
        </w:rPr>
        <w:t>人次以上</w:t>
      </w:r>
      <w:r>
        <w:rPr>
          <w:rFonts w:hint="eastAsia" w:ascii="仿宋_GB2312" w:hAnsi="仿宋_GB2312" w:eastAsia="仿宋_GB2312" w:cs="仿宋_GB2312"/>
          <w:b w:val="0"/>
          <w:bCs w:val="0"/>
          <w:color w:val="auto"/>
          <w:sz w:val="32"/>
          <w:szCs w:val="32"/>
          <w:lang w:val="en-US" w:eastAsia="zh-CN"/>
        </w:rPr>
        <w:t>。进一步加大非遗文化传承保护力度，年内组织参加</w:t>
      </w:r>
      <w:r>
        <w:rPr>
          <w:rFonts w:hint="eastAsia" w:ascii="仿宋_GB2312" w:hAnsi="仿宋" w:eastAsia="仿宋_GB2312" w:cs="Times New Roman"/>
          <w:color w:val="auto"/>
          <w:sz w:val="32"/>
          <w:szCs w:val="32"/>
          <w:lang w:val="en-US" w:eastAsia="zh-CN"/>
        </w:rPr>
        <w:t>传统文化展示展演活动6场次。在全力做好疫情常态化防控的前提下，</w:t>
      </w:r>
      <w:r>
        <w:rPr>
          <w:rFonts w:hint="eastAsia" w:ascii="仿宋_GB2312" w:hAnsi="仿宋_GB2312" w:eastAsia="仿宋_GB2312" w:cs="仿宋_GB2312"/>
          <w:b w:val="0"/>
          <w:bCs w:val="0"/>
          <w:color w:val="auto"/>
          <w:sz w:val="32"/>
          <w:szCs w:val="32"/>
          <w:lang w:val="en-US" w:eastAsia="zh-CN"/>
        </w:rPr>
        <w:t>主要景区接待游客</w:t>
      </w:r>
      <w:r>
        <w:rPr>
          <w:rFonts w:hint="eastAsia" w:ascii="仿宋_GB2312" w:hAnsi="仿宋_GB2312" w:eastAsia="仿宋_GB2312" w:cs="仿宋_GB2312"/>
          <w:b w:val="0"/>
          <w:bCs w:val="0"/>
          <w:color w:val="auto"/>
          <w:sz w:val="32"/>
          <w:szCs w:val="32"/>
          <w:lang w:eastAsia="zh-CN"/>
        </w:rPr>
        <w:t>约10.76万人，实现旅游收入470余万元。</w:t>
      </w:r>
      <w:r>
        <w:rPr>
          <w:rFonts w:hint="eastAsia" w:ascii="黑体" w:hAnsi="黑体" w:eastAsia="黑体" w:cs="黑体"/>
          <w:b w:val="0"/>
          <w:bCs w:val="0"/>
          <w:color w:val="auto"/>
          <w:sz w:val="32"/>
          <w:szCs w:val="32"/>
          <w:lang w:eastAsia="zh-CN"/>
        </w:rPr>
        <w:t>六是</w:t>
      </w:r>
      <w:r>
        <w:rPr>
          <w:rFonts w:hint="eastAsia" w:ascii="黑体" w:hAnsi="黑体" w:eastAsia="黑体" w:cs="黑体"/>
          <w:b w:val="0"/>
          <w:bCs w:val="0"/>
          <w:color w:val="auto"/>
          <w:kern w:val="2"/>
          <w:sz w:val="32"/>
          <w:szCs w:val="32"/>
          <w:lang w:val="en-US" w:eastAsia="zh-CN" w:bidi="ar-SA"/>
        </w:rPr>
        <w:t>扎实做好社会保障工作。</w:t>
      </w:r>
      <w:r>
        <w:rPr>
          <w:rFonts w:hint="eastAsia" w:ascii="仿宋_GB2312" w:hAnsi="仿宋_GB2312" w:eastAsia="仿宋_GB2312" w:cs="仿宋_GB2312"/>
          <w:b w:val="0"/>
          <w:bCs w:val="0"/>
          <w:color w:val="auto"/>
          <w:sz w:val="32"/>
          <w:szCs w:val="32"/>
          <w:lang w:val="en-US" w:eastAsia="zh-CN"/>
        </w:rPr>
        <w:t>持续改善民生，</w:t>
      </w:r>
      <w:r>
        <w:rPr>
          <w:rFonts w:hint="eastAsia" w:ascii="仿宋_GB2312" w:hAnsi="仿宋_GB2312" w:eastAsia="仿宋_GB2312" w:cs="仿宋_GB2312"/>
          <w:b w:val="0"/>
          <w:bCs w:val="0"/>
          <w:color w:val="auto"/>
          <w:sz w:val="32"/>
          <w:szCs w:val="32"/>
        </w:rPr>
        <w:t>切实增强</w:t>
      </w:r>
      <w:r>
        <w:rPr>
          <w:rFonts w:hint="eastAsia" w:ascii="仿宋_GB2312" w:hAnsi="仿宋_GB2312" w:eastAsia="仿宋_GB2312" w:cs="仿宋_GB2312"/>
          <w:b w:val="0"/>
          <w:bCs w:val="0"/>
          <w:color w:val="auto"/>
          <w:sz w:val="32"/>
          <w:szCs w:val="32"/>
          <w:lang w:eastAsia="zh-CN"/>
        </w:rPr>
        <w:t>农牧民</w:t>
      </w:r>
      <w:r>
        <w:rPr>
          <w:rFonts w:hint="eastAsia" w:ascii="仿宋_GB2312" w:hAnsi="仿宋_GB2312" w:eastAsia="仿宋_GB2312" w:cs="仿宋_GB2312"/>
          <w:b w:val="0"/>
          <w:bCs w:val="0"/>
          <w:color w:val="auto"/>
          <w:sz w:val="32"/>
          <w:szCs w:val="32"/>
        </w:rPr>
        <w:t>群众的幸福感和满意度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olor w:val="auto"/>
          <w:sz w:val="32"/>
        </w:rPr>
        <w:t>进一步完善低保</w:t>
      </w:r>
      <w:r>
        <w:rPr>
          <w:rFonts w:hint="eastAsia" w:ascii="仿宋_GB2312" w:hAnsi="仿宋_GB2312" w:eastAsia="仿宋_GB2312"/>
          <w:color w:val="auto"/>
          <w:sz w:val="32"/>
          <w:lang w:val="en-US" w:eastAsia="zh-CN"/>
        </w:rPr>
        <w:t>定期核查</w:t>
      </w:r>
      <w:r>
        <w:rPr>
          <w:rFonts w:hint="eastAsia" w:ascii="仿宋_GB2312" w:hAnsi="仿宋_GB2312" w:eastAsia="仿宋_GB2312"/>
          <w:color w:val="auto"/>
          <w:sz w:val="32"/>
          <w:lang w:eastAsia="zh-CN"/>
        </w:rPr>
        <w:t>制度，</w:t>
      </w:r>
      <w:r>
        <w:rPr>
          <w:rFonts w:hint="eastAsia" w:ascii="仿宋_GB2312" w:hAnsi="仿宋_GB2312" w:eastAsia="仿宋_GB2312"/>
          <w:color w:val="auto"/>
          <w:sz w:val="32"/>
        </w:rPr>
        <w:t>对全</w:t>
      </w:r>
      <w:r>
        <w:rPr>
          <w:rFonts w:hint="eastAsia" w:ascii="仿宋_GB2312" w:hAnsi="仿宋_GB2312" w:eastAsia="仿宋_GB2312"/>
          <w:color w:val="auto"/>
          <w:sz w:val="32"/>
          <w:lang w:val="en-US" w:eastAsia="zh-CN"/>
        </w:rPr>
        <w:t>镇</w:t>
      </w:r>
      <w:r>
        <w:rPr>
          <w:rFonts w:hint="eastAsia" w:ascii="仿宋_GB2312" w:hAnsi="仿宋_GB2312" w:eastAsia="仿宋_GB2312"/>
          <w:color w:val="auto"/>
          <w:sz w:val="32"/>
        </w:rPr>
        <w:t>范围内的</w:t>
      </w:r>
      <w:r>
        <w:rPr>
          <w:rFonts w:hint="eastAsia" w:ascii="仿宋_GB2312" w:hAnsi="仿宋_GB2312" w:eastAsia="仿宋_GB2312"/>
          <w:color w:val="auto"/>
          <w:sz w:val="32"/>
          <w:lang w:val="en-US" w:eastAsia="zh-CN"/>
        </w:rPr>
        <w:t>三、四类</w:t>
      </w:r>
      <w:r>
        <w:rPr>
          <w:rFonts w:hint="eastAsia" w:ascii="仿宋_GB2312" w:hAnsi="仿宋_GB2312" w:eastAsia="仿宋_GB2312"/>
          <w:color w:val="auto"/>
          <w:sz w:val="32"/>
        </w:rPr>
        <w:t>低保</w:t>
      </w:r>
      <w:r>
        <w:rPr>
          <w:rFonts w:hint="eastAsia" w:ascii="仿宋_GB2312" w:hAnsi="仿宋_GB2312" w:eastAsia="仿宋_GB2312"/>
          <w:color w:val="auto"/>
          <w:sz w:val="32"/>
          <w:lang w:val="en-US" w:eastAsia="zh-CN"/>
        </w:rPr>
        <w:t>每季度核查一次</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二类低保户半年核查一次，对于不符合条件的低保户及时予以取消清退。至目前，全镇共有低保户210</w:t>
      </w:r>
      <w:r>
        <w:rPr>
          <w:rFonts w:hint="eastAsia" w:ascii="仿宋_GB2312" w:hAnsi="仿宋_GB2312" w:eastAsia="仿宋_GB2312"/>
          <w:color w:val="auto"/>
          <w:sz w:val="32"/>
        </w:rPr>
        <w:t>户</w:t>
      </w:r>
      <w:r>
        <w:rPr>
          <w:rFonts w:hint="eastAsia" w:ascii="仿宋_GB2312" w:hAnsi="仿宋_GB2312" w:eastAsia="仿宋_GB2312"/>
          <w:color w:val="auto"/>
          <w:sz w:val="32"/>
          <w:lang w:val="en-US" w:eastAsia="zh-CN"/>
        </w:rPr>
        <w:t>327</w:t>
      </w:r>
      <w:r>
        <w:rPr>
          <w:rFonts w:hint="eastAsia" w:ascii="仿宋_GB2312" w:hAnsi="仿宋_GB2312" w:eastAsia="仿宋_GB2312"/>
          <w:color w:val="auto"/>
          <w:sz w:val="32"/>
        </w:rPr>
        <w:t>人，</w:t>
      </w:r>
      <w:r>
        <w:rPr>
          <w:rFonts w:hint="eastAsia" w:ascii="仿宋_GB2312" w:hAnsi="仿宋_GB2312" w:eastAsia="仿宋_GB2312"/>
          <w:color w:val="auto"/>
          <w:sz w:val="32"/>
          <w:lang w:val="en-US" w:eastAsia="zh-CN"/>
        </w:rPr>
        <w:t>累计发放低保金124.06万元、临时物价补贴7.05万元</w:t>
      </w:r>
      <w:r>
        <w:rPr>
          <w:rFonts w:hint="eastAsia" w:ascii="仿宋_GB2312" w:hAnsi="仿宋_GB2312" w:eastAsia="仿宋_GB2312"/>
          <w:color w:val="auto"/>
          <w:sz w:val="32"/>
        </w:rPr>
        <w:t>。加大城乡困难群众临时救助力度</w:t>
      </w:r>
      <w:r>
        <w:rPr>
          <w:rFonts w:hint="eastAsia" w:ascii="仿宋_GB2312" w:hAnsi="仿宋_GB2312" w:eastAsia="仿宋_GB2312"/>
          <w:color w:val="auto"/>
          <w:sz w:val="32"/>
          <w:lang w:eastAsia="zh-CN"/>
        </w:rPr>
        <w:t>。累计救助</w:t>
      </w:r>
      <w:r>
        <w:rPr>
          <w:rFonts w:hint="eastAsia" w:ascii="仿宋_GB2312" w:hAnsi="仿宋_GB2312" w:eastAsia="仿宋_GB2312" w:cs="仿宋_GB2312"/>
          <w:color w:val="auto"/>
          <w:sz w:val="32"/>
          <w:lang w:val="en-US" w:eastAsia="zh-CN"/>
        </w:rPr>
        <w:t>207户570人，</w:t>
      </w:r>
      <w:r>
        <w:rPr>
          <w:rFonts w:hint="eastAsia" w:ascii="仿宋_GB2312" w:hAnsi="仿宋_GB2312" w:eastAsia="仿宋_GB2312"/>
          <w:color w:val="auto"/>
          <w:sz w:val="32"/>
          <w:lang w:val="en-US" w:eastAsia="zh-CN"/>
        </w:rPr>
        <w:t>发放救助资金</w:t>
      </w:r>
      <w:r>
        <w:rPr>
          <w:rFonts w:hint="eastAsia" w:ascii="仿宋_GB2312" w:hAnsi="仿宋_GB2312" w:eastAsia="仿宋_GB2312" w:cs="仿宋_GB2312"/>
          <w:color w:val="auto"/>
          <w:sz w:val="32"/>
          <w:lang w:val="en-US" w:eastAsia="zh-CN"/>
        </w:rPr>
        <w:t>99.99</w:t>
      </w:r>
      <w:r>
        <w:rPr>
          <w:rFonts w:hint="eastAsia" w:ascii="仿宋_GB2312" w:hAnsi="仿宋_GB2312" w:eastAsia="仿宋_GB2312"/>
          <w:color w:val="auto"/>
          <w:sz w:val="32"/>
          <w:lang w:val="en-US" w:eastAsia="zh-CN"/>
        </w:rPr>
        <w:t>万元。</w:t>
      </w:r>
      <w:r>
        <w:rPr>
          <w:rFonts w:hint="eastAsia" w:ascii="仿宋_GB2312" w:hAnsi="仿宋_GB2312" w:eastAsia="仿宋_GB2312"/>
          <w:color w:val="auto"/>
          <w:sz w:val="32"/>
        </w:rPr>
        <w:t>做好农牧村</w:t>
      </w:r>
      <w:r>
        <w:rPr>
          <w:rFonts w:hint="eastAsia" w:ascii="仿宋_GB2312" w:hAnsi="仿宋_GB2312" w:eastAsia="仿宋_GB2312"/>
          <w:color w:val="auto"/>
          <w:sz w:val="32"/>
          <w:lang w:eastAsia="zh-CN"/>
        </w:rPr>
        <w:t>特困</w:t>
      </w:r>
      <w:r>
        <w:rPr>
          <w:rFonts w:hint="eastAsia" w:ascii="仿宋_GB2312" w:hAnsi="仿宋_GB2312" w:eastAsia="仿宋_GB2312"/>
          <w:color w:val="auto"/>
          <w:sz w:val="32"/>
        </w:rPr>
        <w:t>供养工作。严格审定特困供养对象</w:t>
      </w:r>
      <w:r>
        <w:rPr>
          <w:rFonts w:hint="eastAsia" w:ascii="仿宋_GB2312" w:hAnsi="仿宋_GB2312" w:eastAsia="仿宋_GB2312"/>
          <w:color w:val="auto"/>
          <w:sz w:val="32"/>
          <w:lang w:eastAsia="zh-CN"/>
        </w:rPr>
        <w:t>，及时</w:t>
      </w:r>
      <w:r>
        <w:rPr>
          <w:rFonts w:hint="eastAsia" w:ascii="仿宋_GB2312" w:hAnsi="仿宋_GB2312" w:eastAsia="仿宋_GB2312"/>
          <w:color w:val="auto"/>
          <w:sz w:val="32"/>
        </w:rPr>
        <w:t>做好特</w:t>
      </w:r>
      <w:r>
        <w:rPr>
          <w:rFonts w:hint="eastAsia" w:ascii="仿宋_GB2312" w:hAnsi="仿宋_GB2312" w:eastAsia="仿宋_GB2312"/>
          <w:color w:val="auto"/>
          <w:sz w:val="32"/>
          <w:lang w:val="en-US" w:eastAsia="zh-CN"/>
        </w:rPr>
        <w:t>筛查上报工作，截至</w:t>
      </w:r>
      <w:bookmarkStart w:id="2" w:name="_GoBack"/>
      <w:bookmarkEnd w:id="2"/>
      <w:r>
        <w:rPr>
          <w:rFonts w:hint="eastAsia" w:ascii="仿宋_GB2312" w:hAnsi="仿宋_GB2312" w:eastAsia="仿宋_GB2312"/>
          <w:color w:val="auto"/>
          <w:sz w:val="32"/>
          <w:lang w:val="en-US" w:eastAsia="zh-CN"/>
        </w:rPr>
        <w:t>目前，为全镇19户19人特困供养人员发放供养金11.06万元、生活补贴7.5万元、临时物价补贴0.44万元；为17户分散特困供养人员发放电饭煲、电磁炉、床上四件套等慰问品，以保障困难群众安全过冬。积极</w:t>
      </w:r>
      <w:r>
        <w:rPr>
          <w:rFonts w:hint="eastAsia" w:ascii="仿宋_GB2312" w:hAnsi="仿宋_GB2312" w:eastAsia="仿宋_GB2312" w:cs="仿宋_GB2312"/>
          <w:b w:val="0"/>
          <w:bCs/>
          <w:color w:val="auto"/>
          <w:sz w:val="32"/>
          <w:szCs w:val="32"/>
          <w:lang w:val="en-US" w:eastAsia="zh-CN"/>
        </w:rPr>
        <w:t>开发安置乡村公益性岗位，按照“县定、乡聘乡管、村用”工作程序，聘用安置</w:t>
      </w:r>
      <w:r>
        <w:rPr>
          <w:rFonts w:hint="eastAsia" w:ascii="仿宋_GB2312" w:hAnsi="仿宋_GB2312" w:eastAsia="仿宋_GB2312" w:cs="仿宋_GB2312"/>
          <w:b w:val="0"/>
          <w:bCs w:val="0"/>
          <w:color w:val="auto"/>
          <w:kern w:val="0"/>
          <w:sz w:val="32"/>
          <w:szCs w:val="32"/>
          <w:lang w:val="en-US" w:eastAsia="zh-CN" w:bidi="ar-SA"/>
        </w:rPr>
        <w:t>公益性岗位26人（疫情期间临时公益性岗位13人、乡村公益性岗位13人），落实各类务工补贴0.63万元。积极</w:t>
      </w:r>
      <w:r>
        <w:rPr>
          <w:rFonts w:hint="eastAsia" w:ascii="仿宋_GB2312" w:hAnsi="仿宋_GB2312" w:eastAsia="仿宋_GB2312" w:cs="仿宋_GB2312"/>
          <w:color w:val="auto"/>
          <w:sz w:val="32"/>
          <w:szCs w:val="32"/>
          <w:lang w:val="en-US" w:eastAsia="zh-CN"/>
        </w:rPr>
        <w:t>推动城乡富余劳动力有序转移，完成劳务输转290人（就地转移就业165人、赛鼎村建档立卡劳动力外出务工人员25人）。扎实做好城乡养老、医保参保工作。</w:t>
      </w:r>
      <w:r>
        <w:rPr>
          <w:rFonts w:hint="eastAsia" w:ascii="仿宋_GB2312" w:hAnsi="仿宋_GB2312" w:eastAsia="仿宋_GB2312" w:cs="仿宋_GB2312"/>
          <w:b w:val="0"/>
          <w:bCs w:val="0"/>
          <w:color w:val="auto"/>
          <w:sz w:val="32"/>
          <w:szCs w:val="32"/>
          <w:lang w:val="en-US" w:eastAsia="zh-CN"/>
        </w:rPr>
        <w:t>新农合参合率和城乡居民养老保险参保率分别达到98%和96%以上，社会民生保障覆盖面进一步扩大。不断激发农牧村发展活力。加快推进农牧村产权制度改革，注册</w:t>
      </w:r>
      <w:r>
        <w:rPr>
          <w:rFonts w:hint="eastAsia" w:ascii="仿宋_GB2312" w:hAnsi="仿宋_GB2312" w:eastAsia="仿宋_GB2312" w:cs="仿宋_GB2312"/>
          <w:color w:val="auto"/>
          <w:kern w:val="0"/>
          <w:sz w:val="32"/>
          <w:szCs w:val="32"/>
          <w:lang w:val="en-US" w:eastAsia="zh-CN"/>
        </w:rPr>
        <w:t>成立村集体股份经济合作社11家，村集体经济不断发展壮大。</w:t>
      </w:r>
      <w:r>
        <w:rPr>
          <w:rFonts w:hint="eastAsia" w:ascii="黑体" w:hAnsi="黑体" w:eastAsia="黑体" w:cs="黑体"/>
          <w:color w:val="auto"/>
          <w:kern w:val="0"/>
          <w:sz w:val="32"/>
          <w:szCs w:val="32"/>
          <w:lang w:val="en-US" w:eastAsia="zh-CN"/>
        </w:rPr>
        <w:t>七是全</w:t>
      </w:r>
      <w:r>
        <w:rPr>
          <w:rFonts w:hint="eastAsia" w:ascii="黑体" w:hAnsi="黑体" w:eastAsia="黑体" w:cs="黑体"/>
          <w:b w:val="0"/>
          <w:bCs w:val="0"/>
          <w:color w:val="auto"/>
          <w:sz w:val="32"/>
          <w:szCs w:val="32"/>
          <w:lang w:val="en-US" w:eastAsia="zh-CN"/>
        </w:rPr>
        <w:t>面巩固稳定社会大局。</w:t>
      </w:r>
      <w:r>
        <w:rPr>
          <w:rFonts w:hint="eastAsia" w:ascii="仿宋_GB2312" w:hAnsi="Times New Roman" w:eastAsia="仿宋_GB2312" w:cs="Times New Roman"/>
          <w:color w:val="auto"/>
          <w:spacing w:val="-6"/>
          <w:sz w:val="32"/>
          <w:szCs w:val="32"/>
        </w:rPr>
        <w:t>深入开展扫黑除恶专项行动，积极调处化解各类矛盾纠纷，</w:t>
      </w:r>
      <w:r>
        <w:rPr>
          <w:rFonts w:hint="eastAsia" w:ascii="仿宋_GB2312" w:hAnsi="Lucida Sans Unicode" w:eastAsia="仿宋_GB2312" w:cs="Lucida Sans Unicode"/>
          <w:b w:val="0"/>
          <w:bCs w:val="0"/>
          <w:color w:val="auto"/>
          <w:sz w:val="32"/>
          <w:szCs w:val="32"/>
          <w:lang w:val="en-US" w:eastAsia="zh-CN" w:bidi="ar"/>
        </w:rPr>
        <w:t>共调处化解矛盾纠纷34起，化解历史遗留矛盾纠纷2起，破获刑事案件2起，处理治安案件12起，受理办结信访事项6起</w:t>
      </w:r>
      <w:r>
        <w:rPr>
          <w:rFonts w:hint="eastAsia" w:ascii="仿宋_GB2312" w:hAnsi="Times New Roman" w:eastAsia="仿宋_GB2312" w:cs="Times New Roman"/>
          <w:color w:val="auto"/>
          <w:spacing w:val="-6"/>
          <w:sz w:val="32"/>
          <w:szCs w:val="32"/>
        </w:rPr>
        <w:t>；</w:t>
      </w:r>
      <w:r>
        <w:rPr>
          <w:rFonts w:hint="eastAsia" w:ascii="仿宋_GB2312" w:hAnsi="仿宋_GB2312" w:eastAsia="仿宋_GB2312" w:cs="仿宋_GB2312"/>
          <w:b w:val="0"/>
          <w:bCs w:val="0"/>
          <w:color w:val="auto"/>
          <w:sz w:val="32"/>
          <w:szCs w:val="32"/>
          <w:lang w:val="en-US" w:eastAsia="zh-CN"/>
        </w:rPr>
        <w:t>加快推进“雪亮工程”建设，在小集镇、各主要路口及康乐草原架设监控摄像头28个，实现平安监控“全覆盖、无死角”。</w:t>
      </w:r>
      <w:r>
        <w:rPr>
          <w:rFonts w:hint="eastAsia" w:ascii="仿宋_GB2312" w:hAnsi="Times New Roman" w:eastAsia="仿宋_GB2312" w:cs="Times New Roman"/>
          <w:color w:val="auto"/>
          <w:spacing w:val="-6"/>
          <w:sz w:val="32"/>
          <w:szCs w:val="32"/>
        </w:rPr>
        <w:t>全面落实“党政同责、一岗双责”安全生产责任制，不断强化重点领域、重点行业和重点企业的安全监管，先后开展安全检查</w:t>
      </w:r>
      <w:r>
        <w:rPr>
          <w:rFonts w:hint="eastAsia" w:ascii="仿宋_GB2312" w:hAnsi="Times New Roman" w:eastAsia="仿宋_GB2312" w:cs="Times New Roman"/>
          <w:color w:val="auto"/>
          <w:spacing w:val="-6"/>
          <w:sz w:val="32"/>
          <w:szCs w:val="32"/>
          <w:lang w:val="en-US" w:eastAsia="zh-CN"/>
        </w:rPr>
        <w:t>60</w:t>
      </w:r>
      <w:r>
        <w:rPr>
          <w:rFonts w:hint="eastAsia" w:ascii="仿宋_GB2312" w:hAnsi="Times New Roman" w:eastAsia="仿宋_GB2312" w:cs="Times New Roman"/>
          <w:color w:val="auto"/>
          <w:spacing w:val="-6"/>
          <w:sz w:val="32"/>
          <w:szCs w:val="32"/>
        </w:rPr>
        <w:t>次，共查出事故隐患</w:t>
      </w:r>
      <w:r>
        <w:rPr>
          <w:rFonts w:hint="eastAsia" w:ascii="仿宋_GB2312" w:hAnsi="Times New Roman" w:eastAsia="仿宋_GB2312" w:cs="Times New Roman"/>
          <w:color w:val="auto"/>
          <w:spacing w:val="-6"/>
          <w:sz w:val="32"/>
          <w:szCs w:val="32"/>
          <w:lang w:val="en-US" w:eastAsia="zh-CN"/>
        </w:rPr>
        <w:t>120余</w:t>
      </w:r>
      <w:r>
        <w:rPr>
          <w:rFonts w:hint="eastAsia" w:ascii="仿宋_GB2312" w:hAnsi="Times New Roman" w:eastAsia="仿宋_GB2312" w:cs="Times New Roman"/>
          <w:color w:val="auto"/>
          <w:spacing w:val="-6"/>
          <w:sz w:val="32"/>
          <w:szCs w:val="32"/>
        </w:rPr>
        <w:t>条，</w:t>
      </w:r>
      <w:r>
        <w:rPr>
          <w:rFonts w:hint="eastAsia" w:ascii="仿宋_GB2312" w:hAnsi="Times New Roman" w:eastAsia="仿宋_GB2312" w:cs="Times New Roman"/>
          <w:color w:val="auto"/>
          <w:spacing w:val="-6"/>
          <w:sz w:val="32"/>
          <w:szCs w:val="32"/>
          <w:lang w:eastAsia="zh-CN"/>
        </w:rPr>
        <w:t>均已完成执法闭环，</w:t>
      </w:r>
      <w:r>
        <w:rPr>
          <w:rFonts w:hint="eastAsia" w:ascii="仿宋_GB2312" w:hAnsi="Times New Roman" w:eastAsia="仿宋_GB2312" w:cs="Times New Roman"/>
          <w:snapToGrid w:val="0"/>
          <w:color w:val="auto"/>
          <w:spacing w:val="-6"/>
          <w:sz w:val="32"/>
          <w:szCs w:val="32"/>
        </w:rPr>
        <w:t>全</w:t>
      </w:r>
      <w:r>
        <w:rPr>
          <w:rFonts w:hint="eastAsia" w:ascii="仿宋_GB2312" w:hAnsi="Times New Roman" w:eastAsia="仿宋_GB2312" w:cs="Times New Roman"/>
          <w:snapToGrid w:val="0"/>
          <w:color w:val="auto"/>
          <w:spacing w:val="-6"/>
          <w:sz w:val="32"/>
          <w:szCs w:val="32"/>
          <w:lang w:eastAsia="zh-CN"/>
        </w:rPr>
        <w:t>镇</w:t>
      </w:r>
      <w:r>
        <w:rPr>
          <w:rFonts w:hint="eastAsia" w:ascii="仿宋_GB2312" w:hAnsi="Times New Roman" w:eastAsia="仿宋_GB2312" w:cs="Times New Roman"/>
          <w:snapToGrid w:val="0"/>
          <w:color w:val="auto"/>
          <w:spacing w:val="-6"/>
          <w:sz w:val="32"/>
          <w:szCs w:val="32"/>
        </w:rPr>
        <w:t>安全生产形势稳定向好</w:t>
      </w:r>
      <w:r>
        <w:rPr>
          <w:rFonts w:hint="eastAsia" w:ascii="仿宋_GB2312" w:hAnsi="Times New Roman" w:eastAsia="仿宋_GB2312" w:cs="Times New Roman"/>
          <w:color w:val="auto"/>
          <w:spacing w:val="-6"/>
          <w:sz w:val="32"/>
          <w:szCs w:val="32"/>
        </w:rPr>
        <w:t>。扎实开展非洲猪瘟防控和食品安全专项检查，加强牛羊屠宰监管管理，切实保障消费者“舌尖上”的安全，全镇安全形势保持稳定。</w:t>
      </w:r>
      <w:r>
        <w:rPr>
          <w:rFonts w:hint="eastAsia" w:ascii="黑体" w:hAnsi="黑体" w:eastAsia="黑体" w:cs="黑体"/>
          <w:color w:val="auto"/>
          <w:spacing w:val="-6"/>
          <w:sz w:val="32"/>
          <w:szCs w:val="32"/>
          <w:lang w:eastAsia="zh-CN"/>
        </w:rPr>
        <w:t>八是</w:t>
      </w:r>
      <w:r>
        <w:rPr>
          <w:rFonts w:hint="eastAsia" w:ascii="黑体" w:hAnsi="黑体" w:eastAsia="黑体" w:cs="黑体"/>
          <w:b w:val="0"/>
          <w:bCs w:val="0"/>
          <w:color w:val="auto"/>
          <w:sz w:val="32"/>
          <w:szCs w:val="32"/>
          <w:lang w:val="en-US" w:eastAsia="zh-CN"/>
        </w:rPr>
        <w:t>切实提升法治政府效能。</w:t>
      </w:r>
      <w:r>
        <w:rPr>
          <w:rFonts w:hint="eastAsia" w:ascii="仿宋_GB2312" w:hAnsi="仿宋_GB2312" w:eastAsia="仿宋_GB2312" w:cs="仿宋_GB2312"/>
          <w:b w:val="0"/>
          <w:bCs w:val="0"/>
          <w:color w:val="auto"/>
          <w:sz w:val="32"/>
          <w:szCs w:val="32"/>
          <w:lang w:val="en-US" w:eastAsia="zh-CN"/>
        </w:rPr>
        <w:t>不断拓展“不忘初心、牢记使命”主题教育成果，切实增强“四个意识”，坚定“四个自信”，做到“两个维护”。自觉接受人大法律监督、工作监督，办结人大代表意见建议22件。扎实推进“七五”普法，深入开展“法律八进”活动，先后开展普法活动12场次，接受教育2000余人（次），顺利通过“七五”普法验收。积极推进“四办”改革落地见效，升级改造镇便民服务大厅，便民服务水平不断提升。认真落实中央“八项规定实施细则”精神和省市县委相关规定，深入推进形式主义、官僚主义等作风顽疾专项治理，机关作风明显好转，行政效能和政府执行力全面提升。始终把纪律和规矩挺在前面，加强农牧村民主管理，落实监委会职责，规范财务公开，强化行政监察和审计监督，加强财政资金、政府投资、政府采购和项目招投标监督管理，政务环境不断优化，法治政府、效能政府、廉洁政府建设取得新进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（四）偏离绩效目标的原因及下一步改进措施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部门整体预算绩效目标较年初预算数增加787.54万元，增加的是基本支出，主要原因是人员调动，在职人员发放平安建设奖，双拥奖及薪级工资增加。下一步我单位将按照预算要求，加强预算编制，确保部门整体绩效预算目标与实际执行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四、部门预算项目支出绩效自评情况分析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本部门预算支出项目3个，年初预算252.74万元，预算调整后当年财政拨款455.81万元，全年支出455.81元，调整后预算执行率100%。通过自评，有3个项目结果为“优”，分项目自评情况分析如下：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（一）2020年肃南县康乐镇安全应急管理经费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1.支出预算执行情况。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该项目年初预算15万元 ，本</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年预算执行数15万元，全年支出15元，调整后预算执行率100%。</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2.总体绩效目标完成情况分析。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完成全年度安全应急管理工作正常运行；按时足额发放安全管理员工资及各类奖励金；有效排查全镇安全隐患工作。</w:t>
      </w:r>
    </w:p>
    <w:p>
      <w:pPr>
        <w:pStyle w:val="6"/>
        <w:keepNext w:val="0"/>
        <w:keepLines w:val="0"/>
        <w:pageBreakBefore w:val="0"/>
        <w:widowControl w:val="0"/>
        <w:numPr>
          <w:ilvl w:val="0"/>
          <w:numId w:val="6"/>
        </w:numPr>
        <w:tabs>
          <w:tab w:val="clear" w:pos="312"/>
        </w:tabs>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各项指标完成情况分析。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b/>
          <w:bCs/>
          <w:color w:val="000000" w:themeColor="text1"/>
          <w:sz w:val="32"/>
          <w:szCs w:val="32"/>
          <w:lang w:eastAsia="zh-CN"/>
          <w14:textFill>
            <w14:solidFill>
              <w14:schemeClr w14:val="tx1"/>
            </w14:solidFill>
          </w14:textFill>
        </w:rPr>
        <w:t>一是</w:t>
      </w:r>
      <w:r>
        <w:rPr>
          <w:rFonts w:hint="eastAsia" w:ascii="仿宋" w:hAnsi="仿宋" w:eastAsia="仿宋"/>
          <w:color w:val="000000" w:themeColor="text1"/>
          <w:sz w:val="32"/>
          <w:szCs w:val="32"/>
          <w:lang w:eastAsia="zh-CN"/>
          <w14:textFill>
            <w14:solidFill>
              <w14:schemeClr w14:val="tx1"/>
            </w14:solidFill>
          </w14:textFill>
        </w:rPr>
        <w:t>按时足额发放安全管理员全年工资及各类奖励金。二是</w:t>
      </w:r>
      <w:r>
        <w:rPr>
          <w:rFonts w:hint="eastAsia" w:ascii="仿宋" w:hAnsi="仿宋" w:eastAsia="仿宋"/>
          <w:color w:val="000000" w:themeColor="text1"/>
          <w:sz w:val="32"/>
          <w:szCs w:val="32"/>
          <w14:textFill>
            <w14:solidFill>
              <w14:schemeClr w14:val="tx1"/>
            </w14:solidFill>
          </w14:textFill>
        </w:rPr>
        <w:t>加强</w:t>
      </w:r>
      <w:r>
        <w:rPr>
          <w:rFonts w:hint="eastAsia" w:ascii="仿宋" w:hAnsi="仿宋" w:eastAsia="仿宋"/>
          <w:color w:val="000000" w:themeColor="text1"/>
          <w:sz w:val="32"/>
          <w:szCs w:val="32"/>
          <w:lang w:eastAsia="zh-CN"/>
          <w14:textFill>
            <w14:solidFill>
              <w14:schemeClr w14:val="tx1"/>
            </w14:solidFill>
          </w14:textFill>
        </w:rPr>
        <w:t>全镇安全隐患排查</w:t>
      </w:r>
      <w:r>
        <w:rPr>
          <w:rFonts w:hint="eastAsia" w:ascii="仿宋" w:hAnsi="仿宋" w:eastAsia="仿宋"/>
          <w:color w:val="000000" w:themeColor="text1"/>
          <w:sz w:val="32"/>
          <w:szCs w:val="32"/>
          <w14:textFill>
            <w14:solidFill>
              <w14:schemeClr w14:val="tx1"/>
            </w14:solidFill>
          </w14:textFill>
        </w:rPr>
        <w:t>工作,年内开展联合巡查、明察暗访13批（次），督办移交问题3个，下发《督办通知》3份，至目前均已全部完成整改。</w:t>
      </w:r>
      <w:r>
        <w:rPr>
          <w:rFonts w:hint="eastAsia" w:ascii="仿宋" w:hAnsi="仿宋" w:eastAsia="仿宋"/>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sz w:val="32"/>
          <w:szCs w:val="32"/>
          <w:lang w:val="en-US" w:eastAsia="zh-CN"/>
        </w:rPr>
        <w:t>完成本年安全应急执法工作。</w:t>
      </w:r>
      <w:r>
        <w:rPr>
          <w:rFonts w:hint="default"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val="en-US" w:eastAsia="zh-CN"/>
        </w:rPr>
        <w:t>安全应急</w:t>
      </w:r>
      <w:r>
        <w:rPr>
          <w:rFonts w:hint="default" w:ascii="仿宋_GB2312" w:hAnsi="仿宋_GB2312" w:eastAsia="仿宋_GB2312" w:cs="仿宋_GB2312"/>
          <w:sz w:val="32"/>
          <w:szCs w:val="32"/>
          <w:lang w:val="en-US" w:eastAsia="zh-CN"/>
        </w:rPr>
        <w:t>法治宣传教育，大力实施</w:t>
      </w:r>
      <w:r>
        <w:rPr>
          <w:rFonts w:hint="eastAsia" w:ascii="仿宋_GB2312" w:hAnsi="仿宋_GB2312" w:eastAsia="仿宋_GB2312" w:cs="仿宋_GB2312"/>
          <w:sz w:val="32"/>
          <w:szCs w:val="32"/>
          <w:lang w:val="en-US" w:eastAsia="zh-CN"/>
        </w:rPr>
        <w:t>安全应急</w:t>
      </w:r>
      <w:r>
        <w:rPr>
          <w:rFonts w:hint="default" w:ascii="仿宋_GB2312" w:hAnsi="仿宋_GB2312" w:eastAsia="仿宋_GB2312" w:cs="仿宋_GB2312"/>
          <w:sz w:val="32"/>
          <w:szCs w:val="32"/>
          <w:lang w:val="en-US" w:eastAsia="zh-CN"/>
        </w:rPr>
        <w:t>执法提档升级，</w:t>
      </w:r>
      <w:r>
        <w:rPr>
          <w:rFonts w:hint="eastAsia" w:ascii="仿宋_GB2312" w:hAnsi="仿宋_GB2312" w:eastAsia="仿宋_GB2312" w:cs="仿宋_GB2312"/>
          <w:sz w:val="32"/>
          <w:szCs w:val="32"/>
          <w:lang w:val="en-US" w:eastAsia="zh-CN"/>
        </w:rPr>
        <w:t>切实</w:t>
      </w:r>
      <w:r>
        <w:rPr>
          <w:rFonts w:hint="default" w:ascii="仿宋_GB2312" w:hAnsi="仿宋_GB2312" w:eastAsia="仿宋_GB2312" w:cs="仿宋_GB2312"/>
          <w:sz w:val="32"/>
          <w:szCs w:val="32"/>
          <w:lang w:val="en-US" w:eastAsia="zh-CN"/>
        </w:rPr>
        <w:t>推进</w:t>
      </w:r>
      <w:r>
        <w:rPr>
          <w:rFonts w:hint="eastAsia" w:ascii="仿宋_GB2312" w:hAnsi="仿宋_GB2312" w:eastAsia="仿宋_GB2312" w:cs="仿宋_GB2312"/>
          <w:color w:val="auto"/>
          <w:sz w:val="32"/>
          <w:szCs w:val="32"/>
          <w:lang w:val="en-US" w:eastAsia="zh-CN"/>
        </w:rPr>
        <w:t>安全应急普法宣传、安全应急执法、安全应急违法案件查处等</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w:t>
      </w:r>
    </w:p>
    <w:p>
      <w:pPr>
        <w:pStyle w:val="6"/>
        <w:keepNext w:val="0"/>
        <w:keepLines w:val="0"/>
        <w:pageBreakBefore w:val="0"/>
        <w:widowControl w:val="0"/>
        <w:numPr>
          <w:ilvl w:val="0"/>
          <w:numId w:val="6"/>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偏离绩效目标的原因及下一步改进措施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olor w:val="000000" w:themeColor="text1"/>
          <w:sz w:val="32"/>
          <w:szCs w:val="32"/>
          <w:lang w:val="en-US" w:eastAsia="zh-CN"/>
          <w14:textFill>
            <w14:solidFill>
              <w14:schemeClr w14:val="tx1"/>
            </w14:solidFill>
          </w14:textFill>
        </w:rPr>
        <w:t>本年年初预算支出15万元，实际支出15万元。预算执行率100%。本年度本项目未偏离绩效目标。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（二）2020年肃南县康乐镇公共设施管理经费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1.项目支出预算执行情况。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该项目年初预算60万元 ，其中：自收自支人员经费15万元 ，康隆社区运行经费6万元，小集镇基础设施建设维修维护费39万元，实际年初预算为60万元，本</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年预算执行数80万元，</w:t>
      </w:r>
      <w:r>
        <w:rPr>
          <w:rFonts w:hint="eastAsia" w:ascii="仿宋" w:hAnsi="仿宋" w:eastAsia="仿宋" w:cs="Times New Roman"/>
          <w:b w:val="0"/>
          <w:bCs w:val="0"/>
          <w:kern w:val="2"/>
          <w:sz w:val="32"/>
          <w:szCs w:val="32"/>
          <w:lang w:val="en-US" w:eastAsia="zh-CN" w:bidi="ar-SA"/>
        </w:rPr>
        <w:t>预算数增加20万元，</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全年支出80元，调整后预算执行率100%。</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2.总体绩效目标完成情况分析。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完成了康隆社区正常运行全年执行；及时发放自收自支人员1人全年工资薪酬及大师傅工资；小集镇基础设施建设正常运行。</w:t>
      </w:r>
    </w:p>
    <w:p>
      <w:pPr>
        <w:pStyle w:val="6"/>
        <w:keepNext w:val="0"/>
        <w:keepLines w:val="0"/>
        <w:pageBreakBefore w:val="0"/>
        <w:widowControl w:val="0"/>
        <w:numPr>
          <w:ilvl w:val="0"/>
          <w:numId w:val="7"/>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各项指标完成情况分析。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Times New Roman"/>
          <w:b/>
          <w:bCs/>
          <w:kern w:val="2"/>
          <w:sz w:val="32"/>
          <w:szCs w:val="32"/>
          <w:lang w:val="en-US" w:eastAsia="zh-CN" w:bidi="ar-SA"/>
        </w:rPr>
      </w:pPr>
      <w:r>
        <w:rPr>
          <w:rFonts w:hint="eastAsia" w:ascii="仿宋" w:hAnsi="仿宋" w:eastAsia="仿宋"/>
          <w:color w:val="000000" w:themeColor="text1"/>
          <w:sz w:val="32"/>
          <w:szCs w:val="32"/>
          <w:lang w:eastAsia="zh-CN"/>
          <w14:textFill>
            <w14:solidFill>
              <w14:schemeClr w14:val="tx1"/>
            </w14:solidFill>
          </w14:textFill>
        </w:rPr>
        <w:t>一是拨康隆社区运行经费</w:t>
      </w:r>
      <w:r>
        <w:rPr>
          <w:rFonts w:hint="eastAsia" w:ascii="仿宋" w:hAnsi="仿宋" w:eastAsia="仿宋"/>
          <w:color w:val="000000" w:themeColor="text1"/>
          <w:sz w:val="32"/>
          <w:szCs w:val="32"/>
          <w:lang w:val="en-US" w:eastAsia="zh-CN"/>
          <w14:textFill>
            <w14:solidFill>
              <w14:schemeClr w14:val="tx1"/>
            </w14:solidFill>
          </w14:textFill>
        </w:rPr>
        <w:t>6万元。二是小集镇绿化1400平方米，维修自来水管道200米，维修暖气管道320米，填埋小集镇生活垃圾560平方米，共计支付43.52万元</w:t>
      </w:r>
      <w:r>
        <w:rPr>
          <w:rFonts w:hint="eastAsia" w:ascii="仿宋" w:hAnsi="仿宋" w:eastAsia="仿宋"/>
          <w:color w:val="000000" w:themeColor="text1"/>
          <w:sz w:val="32"/>
          <w:szCs w:val="32"/>
          <w:lang w:eastAsia="zh-CN"/>
          <w14:textFill>
            <w14:solidFill>
              <w14:schemeClr w14:val="tx1"/>
            </w14:solidFill>
          </w14:textFill>
        </w:rPr>
        <w:t>。二是即时发放自收自支人员</w:t>
      </w:r>
      <w:r>
        <w:rPr>
          <w:rFonts w:hint="eastAsia" w:ascii="仿宋" w:hAnsi="仿宋" w:eastAsia="仿宋"/>
          <w:color w:val="000000" w:themeColor="text1"/>
          <w:sz w:val="32"/>
          <w:szCs w:val="32"/>
          <w:lang w:val="en-US" w:eastAsia="zh-CN"/>
          <w14:textFill>
            <w14:solidFill>
              <w14:schemeClr w14:val="tx1"/>
            </w14:solidFill>
          </w14:textFill>
        </w:rPr>
        <w:t>1人全年工资薪酬18.6万元，3名大师傅工资11.88万元。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4.偏离绩效目标的原因及下一步改进措施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本年年初预算60万元，本</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年预算执行数80万元，</w:t>
      </w:r>
      <w:r>
        <w:rPr>
          <w:rFonts w:hint="eastAsia" w:ascii="仿宋" w:hAnsi="仿宋" w:eastAsia="仿宋" w:cs="Times New Roman"/>
          <w:b w:val="0"/>
          <w:bCs w:val="0"/>
          <w:kern w:val="2"/>
          <w:sz w:val="32"/>
          <w:szCs w:val="32"/>
          <w:lang w:val="en-US" w:eastAsia="zh-CN" w:bidi="ar-SA"/>
        </w:rPr>
        <w:t>与年初预算数增加20万元，财政追加小集镇基础设施建设维修维护费20万元，用于支付小集镇基础设施建设维修维护费缺口。</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（三）2020年肃南县康乐镇村级运转经费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1.项目支出预算执行情况。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该项目年初预算177.74万元 ，其中：村级运转公用经费58.5万元，村级公益设施建设共管共享经费39万元，村干部报酬80.24万元，本</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年预算执行数360.81万元，</w:t>
      </w:r>
      <w:r>
        <w:rPr>
          <w:rFonts w:hint="eastAsia" w:ascii="仿宋" w:hAnsi="仿宋" w:eastAsia="仿宋" w:cs="Times New Roman"/>
          <w:b w:val="0"/>
          <w:bCs w:val="0"/>
          <w:kern w:val="2"/>
          <w:sz w:val="32"/>
          <w:szCs w:val="32"/>
          <w:lang w:val="en-US" w:eastAsia="zh-CN" w:bidi="ar-SA"/>
        </w:rPr>
        <w:t>预算数增加183.07万元，</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全年支出360.81元，调整后预算执行率100%。</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2.总体绩效目标完成情况分析。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完成了13个行政村村级组织正常运行全年工作；及时发放村干部全年报酬。</w:t>
      </w:r>
    </w:p>
    <w:p>
      <w:pPr>
        <w:pStyle w:val="6"/>
        <w:keepNext w:val="0"/>
        <w:keepLines w:val="0"/>
        <w:pageBreakBefore w:val="0"/>
        <w:widowControl w:val="0"/>
        <w:numPr>
          <w:ilvl w:val="0"/>
          <w:numId w:val="7"/>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各项指标完成情况分析。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Times New Roman"/>
          <w:b/>
          <w:bCs/>
          <w:kern w:val="2"/>
          <w:sz w:val="32"/>
          <w:szCs w:val="32"/>
          <w:lang w:val="en-US" w:eastAsia="zh-CN" w:bidi="ar-SA"/>
        </w:rPr>
      </w:pPr>
      <w:r>
        <w:rPr>
          <w:rFonts w:hint="eastAsia" w:ascii="仿宋" w:hAnsi="仿宋" w:eastAsia="仿宋"/>
          <w:color w:val="000000" w:themeColor="text1"/>
          <w:sz w:val="32"/>
          <w:szCs w:val="32"/>
          <w:lang w:eastAsia="zh-CN"/>
          <w14:textFill>
            <w14:solidFill>
              <w14:schemeClr w14:val="tx1"/>
            </w14:solidFill>
          </w14:textFill>
        </w:rPr>
        <w:t>一是拨</w:t>
      </w:r>
      <w:r>
        <w:rPr>
          <w:rFonts w:hint="eastAsia" w:ascii="仿宋" w:hAnsi="仿宋" w:eastAsia="仿宋"/>
          <w:color w:val="000000" w:themeColor="text1"/>
          <w:sz w:val="32"/>
          <w:szCs w:val="32"/>
          <w:lang w:val="en-US" w:eastAsia="zh-CN"/>
          <w14:textFill>
            <w14:solidFill>
              <w14:schemeClr w14:val="tx1"/>
            </w14:solidFill>
          </w14:textFill>
        </w:rPr>
        <w:t>13个行政村村级组织运转公用经费65万元。二是拨付13个行政村村级公益设施建设共管共享经费39万元。三</w:t>
      </w:r>
      <w:r>
        <w:rPr>
          <w:rFonts w:hint="eastAsia" w:ascii="仿宋" w:hAnsi="仿宋" w:eastAsia="仿宋"/>
          <w:color w:val="000000" w:themeColor="text1"/>
          <w:sz w:val="32"/>
          <w:szCs w:val="32"/>
          <w:lang w:eastAsia="zh-CN"/>
          <w14:textFill>
            <w14:solidFill>
              <w14:schemeClr w14:val="tx1"/>
            </w14:solidFill>
          </w14:textFill>
        </w:rPr>
        <w:t>是即时发放村干部全年</w:t>
      </w:r>
      <w:r>
        <w:rPr>
          <w:rFonts w:hint="eastAsia" w:ascii="仿宋" w:hAnsi="仿宋" w:eastAsia="仿宋"/>
          <w:color w:val="000000" w:themeColor="text1"/>
          <w:sz w:val="32"/>
          <w:szCs w:val="32"/>
          <w:lang w:val="en-US" w:eastAsia="zh-CN"/>
          <w14:textFill>
            <w14:solidFill>
              <w14:schemeClr w14:val="tx1"/>
            </w14:solidFill>
          </w14:textFill>
        </w:rPr>
        <w:t>工资薪酬256.81万元。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4.偏离绩效目标的原因及下一步改进措施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本年年初预算177.74万元，本</w:t>
      </w:r>
      <w:r>
        <w:rPr>
          <w:rFonts w:hint="eastAsia" w:ascii="仿宋" w:hAnsi="仿宋" w:eastAsia="仿宋" w:cs="Times New Roman"/>
          <w:color w:val="0D0D0D" w:themeColor="text1" w:themeTint="F2"/>
          <w:kern w:val="2"/>
          <w:sz w:val="32"/>
          <w:szCs w:val="32"/>
          <w:lang w:val="en-US" w:eastAsia="zh-CN" w:bidi="ar-SA"/>
          <w14:textFill>
            <w14:solidFill>
              <w14:schemeClr w14:val="tx1">
                <w14:lumMod w14:val="95000"/>
                <w14:lumOff w14:val="5000"/>
              </w14:schemeClr>
            </w14:solidFill>
          </w14:textFill>
        </w:rPr>
        <w:t>年预算执行数360.81万元，</w:t>
      </w:r>
      <w:r>
        <w:rPr>
          <w:rFonts w:hint="eastAsia" w:ascii="仿宋" w:hAnsi="仿宋" w:eastAsia="仿宋" w:cs="Times New Roman"/>
          <w:b w:val="0"/>
          <w:bCs w:val="0"/>
          <w:kern w:val="2"/>
          <w:sz w:val="32"/>
          <w:szCs w:val="32"/>
          <w:lang w:val="en-US" w:eastAsia="zh-CN" w:bidi="ar-SA"/>
        </w:rPr>
        <w:t>与年初预算数增加183.07万元，其增加原因是：年中财政追加村级组织运转公用经费每村5万元，村干部按照规定“一肩挑”主任薪酬每年4.5万元，副书记薪酬每年3万元，村文村薪酬每年3.6万元。</w:t>
      </w:r>
    </w:p>
    <w:p>
      <w:pPr>
        <w:pStyle w:val="6"/>
        <w:keepNext w:val="0"/>
        <w:keepLines w:val="0"/>
        <w:pageBreakBefore w:val="0"/>
        <w:widowControl w:val="0"/>
        <w:numPr>
          <w:ilvl w:val="0"/>
          <w:numId w:val="8"/>
        </w:numPr>
        <w:kinsoku/>
        <w:wordWrap/>
        <w:overflowPunct/>
        <w:topLinePunct w:val="0"/>
        <w:autoSpaceDE/>
        <w:autoSpaceDN/>
        <w:bidi w:val="0"/>
        <w:adjustRightInd/>
        <w:snapToGrid/>
        <w:spacing w:after="0" w:line="50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绩效自评结果拟应用和公开情况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通过部门绩效管理实施，按时将绩效目标、自评进行公开，并严格按照财政资金和财政专项资金管理和使用办法，规范财政资金支出使用范围，确保财政资金和专项资金的使用效率，充分发挥了财政资金和专项资金的作用，着力改善民生，加强公共管理，完善基础设施建设，进一步维护社会稳定，提高了环境效益和社会效益，促进了农业农村增产增收和县域经济的快速发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七、其他需要说明的问题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无中央和省委巡视、各级审计和财政监督中发现的问题及其所涉及的金额事项。</w:t>
      </w:r>
    </w:p>
    <w:p>
      <w:pPr>
        <w:keepNext w:val="0"/>
        <w:keepLines w:val="0"/>
        <w:pageBreakBefore w:val="0"/>
        <w:numPr>
          <w:ilvl w:val="0"/>
          <w:numId w:val="0"/>
        </w:numPr>
        <w:kinsoku/>
        <w:wordWrap w:val="0"/>
        <w:overflowPunct/>
        <w:topLinePunct w:val="0"/>
        <w:autoSpaceDE/>
        <w:autoSpaceDN/>
        <w:bidi w:val="0"/>
        <w:spacing w:before="0" w:after="0" w:line="500" w:lineRule="exact"/>
        <w:ind w:right="0" w:firstLine="567"/>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567"/>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567"/>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567"/>
        <w:jc w:val="both"/>
        <w:rPr>
          <w:rFonts w:hint="default" w:ascii="仿宋_GB2312" w:hAnsi="仿宋_GB2312" w:eastAsia="仿宋_GB2312"/>
          <w:color w:val="auto"/>
          <w:position w:val="0"/>
          <w:sz w:val="32"/>
          <w:szCs w:val="32"/>
        </w:rPr>
      </w:pPr>
    </w:p>
    <w:p>
      <w:pPr>
        <w:numPr>
          <w:ilvl w:val="0"/>
          <w:numId w:val="0"/>
        </w:numPr>
        <w:wordWrap w:val="0"/>
        <w:spacing w:before="0" w:after="0" w:line="311" w:lineRule="auto"/>
        <w:ind w:right="0" w:firstLine="567"/>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                           肃南县康乐镇人民政府</w:t>
      </w:r>
    </w:p>
    <w:p>
      <w:pPr>
        <w:numPr>
          <w:ilvl w:val="0"/>
          <w:numId w:val="0"/>
        </w:numPr>
        <w:wordWrap w:val="0"/>
        <w:spacing w:before="0" w:after="0" w:line="311" w:lineRule="auto"/>
        <w:ind w:right="0" w:firstLine="567"/>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 xml:space="preserve">                               20</w:t>
      </w:r>
      <w:r>
        <w:rPr>
          <w:rFonts w:hint="eastAsia" w:ascii="仿宋_GB2312" w:hAnsi="仿宋_GB2312" w:eastAsia="仿宋_GB2312"/>
          <w:color w:val="auto"/>
          <w:position w:val="0"/>
          <w:sz w:val="32"/>
          <w:szCs w:val="32"/>
          <w:lang w:val="en-US" w:eastAsia="zh-CN"/>
        </w:rPr>
        <w:t>21</w:t>
      </w:r>
      <w:r>
        <w:rPr>
          <w:rFonts w:hint="default" w:ascii="仿宋_GB2312" w:hAnsi="仿宋_GB2312" w:eastAsia="仿宋_GB2312"/>
          <w:color w:val="auto"/>
          <w:position w:val="0"/>
          <w:sz w:val="32"/>
          <w:szCs w:val="32"/>
        </w:rPr>
        <w:t>年</w:t>
      </w:r>
      <w:r>
        <w:rPr>
          <w:rFonts w:hint="eastAsia" w:ascii="仿宋_GB2312" w:hAnsi="仿宋_GB2312" w:eastAsia="仿宋_GB2312"/>
          <w:color w:val="auto"/>
          <w:position w:val="0"/>
          <w:sz w:val="32"/>
          <w:szCs w:val="32"/>
          <w:lang w:val="en-US" w:eastAsia="zh-CN"/>
        </w:rPr>
        <w:t>1</w:t>
      </w:r>
      <w:r>
        <w:rPr>
          <w:rFonts w:hint="default" w:ascii="仿宋_GB2312" w:hAnsi="仿宋_GB2312" w:eastAsia="仿宋_GB2312"/>
          <w:color w:val="auto"/>
          <w:position w:val="0"/>
          <w:sz w:val="32"/>
          <w:szCs w:val="32"/>
        </w:rPr>
        <w:t>月</w:t>
      </w:r>
      <w:r>
        <w:rPr>
          <w:rFonts w:hint="eastAsia" w:ascii="仿宋_GB2312" w:hAnsi="仿宋_GB2312" w:eastAsia="仿宋_GB2312"/>
          <w:color w:val="auto"/>
          <w:position w:val="0"/>
          <w:sz w:val="32"/>
          <w:szCs w:val="32"/>
          <w:lang w:val="en-US" w:eastAsia="zh-CN"/>
        </w:rPr>
        <w:t>22</w:t>
      </w:r>
      <w:r>
        <w:rPr>
          <w:rFonts w:hint="default" w:ascii="仿宋_GB2312" w:hAnsi="仿宋_GB2312" w:eastAsia="仿宋_GB2312"/>
          <w:color w:val="auto"/>
          <w:position w:val="0"/>
          <w:sz w:val="32"/>
          <w:szCs w:val="32"/>
        </w:rPr>
        <w:t>日</w:t>
      </w:r>
    </w:p>
    <w:p>
      <w:pPr>
        <w:numPr>
          <w:ilvl w:val="0"/>
          <w:numId w:val="0"/>
        </w:numPr>
        <w:wordWrap w:val="0"/>
        <w:spacing w:before="0" w:after="0" w:line="311" w:lineRule="auto"/>
        <w:ind w:right="0" w:firstLine="567"/>
        <w:jc w:val="both"/>
        <w:rPr>
          <w:rFonts w:hint="default" w:ascii="仿宋_GB2312" w:hAnsi="仿宋_GB2312" w:eastAsia="仿宋_GB2312"/>
          <w:color w:val="auto"/>
          <w:position w:val="0"/>
          <w:sz w:val="32"/>
          <w:szCs w:val="32"/>
        </w:rPr>
      </w:pPr>
    </w:p>
    <w:p>
      <w:pPr>
        <w:pStyle w:val="5"/>
        <w:rPr>
          <w:rFonts w:hint="default" w:ascii="仿宋_GB2312" w:hAnsi="仿宋_GB2312" w:eastAsia="仿宋_GB2312"/>
          <w:color w:val="auto"/>
          <w:position w:val="0"/>
          <w:sz w:val="32"/>
          <w:szCs w:val="32"/>
        </w:rPr>
      </w:pPr>
    </w:p>
    <w:p>
      <w:pPr>
        <w:rPr>
          <w:rFonts w:hint="default" w:ascii="仿宋_GB2312" w:hAnsi="仿宋_GB2312" w:eastAsia="仿宋_GB2312"/>
          <w:color w:val="auto"/>
          <w:position w:val="0"/>
          <w:sz w:val="32"/>
          <w:szCs w:val="32"/>
        </w:rPr>
      </w:pPr>
    </w:p>
    <w:p>
      <w:pPr>
        <w:pStyle w:val="5"/>
        <w:rPr>
          <w:rFonts w:hint="default" w:ascii="仿宋_GB2312" w:hAnsi="仿宋_GB2312" w:eastAsia="仿宋_GB2312"/>
          <w:color w:val="auto"/>
          <w:position w:val="0"/>
          <w:sz w:val="32"/>
          <w:szCs w:val="32"/>
        </w:rPr>
      </w:pPr>
    </w:p>
    <w:p>
      <w:pPr>
        <w:rPr>
          <w:rFonts w:hint="default" w:ascii="仿宋_GB2312" w:hAnsi="仿宋_GB2312" w:eastAsia="仿宋_GB2312"/>
          <w:color w:val="auto"/>
          <w:position w:val="0"/>
          <w:sz w:val="32"/>
          <w:szCs w:val="32"/>
        </w:rPr>
      </w:pPr>
    </w:p>
    <w:p>
      <w:pPr>
        <w:pStyle w:val="5"/>
        <w:rPr>
          <w:rFonts w:hint="default" w:ascii="仿宋_GB2312" w:hAnsi="仿宋_GB2312" w:eastAsia="仿宋_GB2312"/>
          <w:color w:val="auto"/>
          <w:position w:val="0"/>
          <w:sz w:val="32"/>
          <w:szCs w:val="32"/>
        </w:rPr>
      </w:pPr>
    </w:p>
    <w:p>
      <w:pPr>
        <w:rPr>
          <w:rFonts w:hint="default" w:ascii="仿宋_GB2312" w:hAnsi="仿宋_GB2312" w:eastAsia="仿宋_GB2312"/>
          <w:color w:val="auto"/>
          <w:position w:val="0"/>
          <w:sz w:val="32"/>
          <w:szCs w:val="32"/>
        </w:rPr>
      </w:pPr>
    </w:p>
    <w:p>
      <w:pPr>
        <w:rPr>
          <w:rFonts w:hint="default" w:ascii="仿宋_GB2312" w:hAnsi="仿宋_GB2312" w:eastAsia="仿宋_GB2312"/>
          <w:color w:val="auto"/>
          <w:position w:val="0"/>
          <w:sz w:val="32"/>
          <w:szCs w:val="32"/>
        </w:rPr>
      </w:pPr>
    </w:p>
    <w:p>
      <w:pPr>
        <w:spacing w:line="5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both"/>
        <w:textAlignment w:val="auto"/>
      </w:pPr>
      <w:r>
        <w:rPr>
          <w:rFonts w:hint="eastAsia" w:ascii="仿宋_GB2312" w:hAnsi="仿宋_GB2312" w:eastAsia="仿宋_GB2312" w:cs="仿宋_GB2312"/>
          <w:color w:val="000000"/>
          <w:spacing w:val="-2"/>
          <w:sz w:val="32"/>
          <w:szCs w:val="32"/>
          <w:u w:val="single"/>
          <w:lang w:val="en-US" w:eastAsia="zh-CN"/>
        </w:rPr>
        <w:t xml:space="preserve"> </w:t>
      </w:r>
      <w:r>
        <w:rPr>
          <w:rFonts w:hint="eastAsia" w:ascii="仿宋_GB2312" w:hAnsi="仿宋_GB2312" w:eastAsia="仿宋_GB2312" w:cs="仿宋_GB2312"/>
          <w:color w:val="000000"/>
          <w:spacing w:val="-20"/>
          <w:sz w:val="32"/>
          <w:szCs w:val="32"/>
          <w:u w:val="single"/>
          <w:lang w:val="en-US" w:eastAsia="zh-CN"/>
        </w:rPr>
        <w:t xml:space="preserve"> </w:t>
      </w:r>
      <w:r>
        <w:rPr>
          <w:rFonts w:hint="eastAsia" w:ascii="仿宋_GB2312" w:hAnsi="仿宋_GB2312" w:eastAsia="仿宋_GB2312" w:cs="仿宋_GB2312"/>
          <w:spacing w:val="-20"/>
          <w:sz w:val="32"/>
          <w:szCs w:val="32"/>
          <w:u w:val="single"/>
        </w:rPr>
        <w:t>肃南裕固族自治县</w:t>
      </w:r>
      <w:r>
        <w:rPr>
          <w:rFonts w:hint="eastAsia" w:ascii="仿宋_GB2312" w:hAnsi="仿宋_GB2312" w:eastAsia="仿宋_GB2312" w:cs="仿宋_GB2312"/>
          <w:spacing w:val="-20"/>
          <w:sz w:val="32"/>
          <w:szCs w:val="32"/>
          <w:u w:val="single"/>
          <w:lang w:eastAsia="zh-CN"/>
        </w:rPr>
        <w:t>康乐镇人民政府</w:t>
      </w:r>
      <w:r>
        <w:rPr>
          <w:rFonts w:hint="eastAsia" w:ascii="仿宋_GB2312" w:hAnsi="仿宋_GB2312" w:eastAsia="仿宋_GB2312" w:cs="仿宋_GB2312"/>
          <w:spacing w:val="-20"/>
          <w:sz w:val="32"/>
          <w:szCs w:val="32"/>
          <w:u w:val="single"/>
        </w:rPr>
        <w:t xml:space="preserve"> </w:t>
      </w:r>
      <w:r>
        <w:rPr>
          <w:rFonts w:hint="eastAsia" w:ascii="仿宋_GB2312" w:hAnsi="仿宋_GB2312" w:eastAsia="仿宋_GB2312" w:cs="仿宋_GB2312"/>
          <w:spacing w:val="-20"/>
          <w:sz w:val="32"/>
          <w:szCs w:val="32"/>
          <w:u w:val="single"/>
          <w:lang w:val="en-US" w:eastAsia="zh-CN"/>
        </w:rPr>
        <w:t xml:space="preserve">       </w:t>
      </w:r>
      <w:r>
        <w:rPr>
          <w:rFonts w:hint="eastAsia" w:ascii="仿宋_GB2312" w:hAnsi="仿宋_GB2312" w:eastAsia="仿宋_GB2312" w:cs="仿宋_GB2312"/>
          <w:spacing w:val="-20"/>
          <w:sz w:val="32"/>
          <w:szCs w:val="32"/>
          <w:u w:val="single"/>
        </w:rPr>
        <w:t>202</w:t>
      </w:r>
      <w:r>
        <w:rPr>
          <w:rFonts w:hint="eastAsia" w:ascii="仿宋_GB2312" w:hAnsi="仿宋_GB2312" w:eastAsia="仿宋_GB2312" w:cs="仿宋_GB2312"/>
          <w:spacing w:val="-20"/>
          <w:sz w:val="32"/>
          <w:szCs w:val="32"/>
          <w:u w:val="single"/>
          <w:lang w:val="en-US" w:eastAsia="zh-CN"/>
        </w:rPr>
        <w:t>1</w:t>
      </w:r>
      <w:r>
        <w:rPr>
          <w:rFonts w:hint="eastAsia" w:ascii="仿宋_GB2312" w:hAnsi="仿宋_GB2312" w:eastAsia="仿宋_GB2312" w:cs="仿宋_GB2312"/>
          <w:spacing w:val="-20"/>
          <w:sz w:val="32"/>
          <w:szCs w:val="32"/>
          <w:u w:val="single"/>
        </w:rPr>
        <w:t>年</w:t>
      </w:r>
      <w:r>
        <w:rPr>
          <w:rFonts w:hint="eastAsia" w:ascii="仿宋_GB2312" w:hAnsi="仿宋_GB2312" w:eastAsia="仿宋_GB2312" w:cs="仿宋_GB2312"/>
          <w:spacing w:val="-20"/>
          <w:sz w:val="32"/>
          <w:szCs w:val="32"/>
          <w:u w:val="single"/>
          <w:lang w:val="en-US" w:eastAsia="zh-CN"/>
        </w:rPr>
        <w:t>1</w:t>
      </w:r>
      <w:r>
        <w:rPr>
          <w:rFonts w:hint="eastAsia" w:ascii="仿宋_GB2312" w:hAnsi="仿宋_GB2312" w:eastAsia="仿宋_GB2312" w:cs="仿宋_GB2312"/>
          <w:spacing w:val="-20"/>
          <w:sz w:val="32"/>
          <w:szCs w:val="32"/>
          <w:u w:val="single"/>
        </w:rPr>
        <w:t>月</w:t>
      </w:r>
      <w:r>
        <w:rPr>
          <w:rFonts w:hint="eastAsia" w:ascii="仿宋_GB2312" w:hAnsi="仿宋_GB2312" w:eastAsia="仿宋_GB2312" w:cs="仿宋_GB2312"/>
          <w:spacing w:val="-20"/>
          <w:sz w:val="32"/>
          <w:szCs w:val="32"/>
          <w:u w:val="single"/>
          <w:lang w:val="en-US" w:eastAsia="zh-CN"/>
        </w:rPr>
        <w:t>22</w:t>
      </w:r>
      <w:r>
        <w:rPr>
          <w:rFonts w:hint="eastAsia" w:ascii="仿宋_GB2312" w:hAnsi="仿宋_GB2312" w:eastAsia="仿宋_GB2312" w:cs="仿宋_GB2312"/>
          <w:spacing w:val="-20"/>
          <w:sz w:val="32"/>
          <w:szCs w:val="32"/>
          <w:u w:val="single"/>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D8F0"/>
    <w:multiLevelType w:val="singleLevel"/>
    <w:tmpl w:val="97C3D8F0"/>
    <w:lvl w:ilvl="0" w:tentative="0">
      <w:start w:val="1"/>
      <w:numFmt w:val="chineseCounting"/>
      <w:suff w:val="nothing"/>
      <w:lvlText w:val="%1、"/>
      <w:lvlJc w:val="left"/>
      <w:rPr>
        <w:rFonts w:hint="eastAsia"/>
      </w:rPr>
    </w:lvl>
  </w:abstractNum>
  <w:abstractNum w:abstractNumId="1">
    <w:nsid w:val="9E78BC59"/>
    <w:multiLevelType w:val="singleLevel"/>
    <w:tmpl w:val="9E78BC59"/>
    <w:lvl w:ilvl="0" w:tentative="0">
      <w:start w:val="3"/>
      <w:numFmt w:val="decimal"/>
      <w:lvlText w:val="%1."/>
      <w:lvlJc w:val="left"/>
      <w:pPr>
        <w:tabs>
          <w:tab w:val="left" w:pos="312"/>
        </w:tabs>
      </w:pPr>
    </w:lvl>
  </w:abstractNum>
  <w:abstractNum w:abstractNumId="2">
    <w:nsid w:val="AFDFF3DE"/>
    <w:multiLevelType w:val="singleLevel"/>
    <w:tmpl w:val="AFDFF3DE"/>
    <w:lvl w:ilvl="0" w:tentative="0">
      <w:start w:val="1"/>
      <w:numFmt w:val="chineseCounting"/>
      <w:suff w:val="nothing"/>
      <w:lvlText w:val="（%1）"/>
      <w:lvlJc w:val="left"/>
      <w:rPr>
        <w:rFonts w:hint="eastAsia"/>
      </w:rPr>
    </w:lvl>
  </w:abstractNum>
  <w:abstractNum w:abstractNumId="3">
    <w:nsid w:val="B306A83D"/>
    <w:multiLevelType w:val="singleLevel"/>
    <w:tmpl w:val="B306A83D"/>
    <w:lvl w:ilvl="0" w:tentative="0">
      <w:start w:val="3"/>
      <w:numFmt w:val="decimal"/>
      <w:lvlText w:val="%1."/>
      <w:lvlJc w:val="left"/>
      <w:pPr>
        <w:tabs>
          <w:tab w:val="left" w:pos="312"/>
        </w:tabs>
      </w:pPr>
    </w:lvl>
  </w:abstractNum>
  <w:abstractNum w:abstractNumId="4">
    <w:nsid w:val="B57F97B4"/>
    <w:multiLevelType w:val="singleLevel"/>
    <w:tmpl w:val="B57F97B4"/>
    <w:lvl w:ilvl="0" w:tentative="0">
      <w:start w:val="6"/>
      <w:numFmt w:val="chineseCounting"/>
      <w:suff w:val="nothing"/>
      <w:lvlText w:val="%1、"/>
      <w:lvlJc w:val="left"/>
      <w:pPr>
        <w:ind w:left="480" w:leftChars="0" w:firstLine="0" w:firstLineChars="0"/>
      </w:pPr>
      <w:rPr>
        <w:rFonts w:hint="eastAsia"/>
      </w:rPr>
    </w:lvl>
  </w:abstractNum>
  <w:abstractNum w:abstractNumId="5">
    <w:nsid w:val="D88C157A"/>
    <w:multiLevelType w:val="singleLevel"/>
    <w:tmpl w:val="D88C157A"/>
    <w:lvl w:ilvl="0" w:tentative="0">
      <w:start w:val="3"/>
      <w:numFmt w:val="decimal"/>
      <w:lvlText w:val="%1."/>
      <w:lvlJc w:val="left"/>
      <w:pPr>
        <w:tabs>
          <w:tab w:val="left" w:pos="312"/>
        </w:tabs>
      </w:pPr>
    </w:lvl>
  </w:abstractNum>
  <w:abstractNum w:abstractNumId="6">
    <w:nsid w:val="22AF538C"/>
    <w:multiLevelType w:val="multilevel"/>
    <w:tmpl w:val="22AF538C"/>
    <w:lvl w:ilvl="0" w:tentative="0">
      <w:start w:val="1"/>
      <w:numFmt w:val="decimal"/>
      <w:lvlText w:val="%1"/>
      <w:lvlJc w:val="left"/>
      <w:pPr>
        <w:ind w:left="420" w:hanging="420"/>
      </w:pPr>
      <w:rPr>
        <w:rFonts w:hint="eastAsia"/>
      </w:rPr>
    </w:lvl>
    <w:lvl w:ilvl="1" w:tentative="0">
      <w:start w:val="1"/>
      <w:numFmt w:val="decimal"/>
      <w:pStyle w:val="3"/>
      <w:suff w:val="space"/>
      <w:lvlText w:val="%1.%2"/>
      <w:lvlJc w:val="left"/>
      <w:pPr>
        <w:ind w:left="142" w:firstLine="0"/>
      </w:pPr>
      <w:rPr>
        <w:rFonts w:ascii="Times New Roman" w:hAnsi="Times New Roman"/>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284" w:firstLine="0"/>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426"/>
        </w:tabs>
        <w:ind w:left="142" w:firstLine="0"/>
      </w:pPr>
      <w:rPr>
        <w:rFonts w:ascii="Times New Roman" w:hAnsi="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284"/>
        </w:tabs>
        <w:ind w:left="0" w:firstLine="0"/>
      </w:pPr>
      <w:rPr>
        <w:rFonts w:hint="eastAsia"/>
      </w:rPr>
    </w:lvl>
    <w:lvl w:ilvl="5" w:tentative="0">
      <w:start w:val="1"/>
      <w:numFmt w:val="decimal"/>
      <w:lvlText w:val="%1.%2.%3.%4.%5.%6"/>
      <w:lvlJc w:val="left"/>
      <w:pPr>
        <w:tabs>
          <w:tab w:val="left" w:pos="284"/>
        </w:tabs>
        <w:ind w:left="0" w:firstLine="0"/>
      </w:pPr>
      <w:rPr>
        <w:rFonts w:hint="eastAsia"/>
      </w:rPr>
    </w:lvl>
    <w:lvl w:ilvl="6" w:tentative="0">
      <w:start w:val="1"/>
      <w:numFmt w:val="decimal"/>
      <w:lvlText w:val="%1.%2.%3.%4.%5.%6.%7"/>
      <w:lvlJc w:val="left"/>
      <w:pPr>
        <w:tabs>
          <w:tab w:val="left" w:pos="284"/>
        </w:tabs>
        <w:ind w:left="0" w:firstLine="0"/>
      </w:pPr>
      <w:rPr>
        <w:rFonts w:hint="eastAsia"/>
      </w:rPr>
    </w:lvl>
    <w:lvl w:ilvl="7" w:tentative="0">
      <w:start w:val="1"/>
      <w:numFmt w:val="decimal"/>
      <w:lvlText w:val="%1.%2.%3.%4.%5.%6.%7.%8"/>
      <w:lvlJc w:val="left"/>
      <w:pPr>
        <w:tabs>
          <w:tab w:val="left" w:pos="284"/>
        </w:tabs>
        <w:ind w:left="0" w:firstLine="0"/>
      </w:pPr>
      <w:rPr>
        <w:rFonts w:hint="eastAsia"/>
      </w:rPr>
    </w:lvl>
    <w:lvl w:ilvl="8" w:tentative="0">
      <w:start w:val="1"/>
      <w:numFmt w:val="decimal"/>
      <w:lvlText w:val="%1.%2.%3.%4.%5.%6.%7.%8.%9"/>
      <w:lvlJc w:val="left"/>
      <w:pPr>
        <w:tabs>
          <w:tab w:val="left" w:pos="284"/>
        </w:tabs>
        <w:ind w:left="0" w:firstLine="0"/>
      </w:pPr>
      <w:rPr>
        <w:rFonts w:hint="eastAsia"/>
      </w:rPr>
    </w:lvl>
  </w:abstractNum>
  <w:abstractNum w:abstractNumId="7">
    <w:nsid w:val="7379651A"/>
    <w:multiLevelType w:val="singleLevel"/>
    <w:tmpl w:val="7379651A"/>
    <w:lvl w:ilvl="0" w:tentative="0">
      <w:start w:val="3"/>
      <w:numFmt w:val="chineseCounting"/>
      <w:suff w:val="nothing"/>
      <w:lvlText w:val="%1、"/>
      <w:lvlJc w:val="left"/>
      <w:pPr>
        <w:ind w:left="800" w:leftChars="0" w:firstLine="0" w:firstLineChars="0"/>
      </w:pPr>
      <w:rPr>
        <w:rFonts w:hint="eastAsia"/>
      </w:rPr>
    </w:lvl>
  </w:abstractNum>
  <w:num w:numId="1">
    <w:abstractNumId w:val="6"/>
    <w:lvlOverride w:ilvl="1">
      <w:startOverride w:val="1"/>
    </w:lvlOverride>
  </w:num>
  <w:num w:numId="2">
    <w:abstractNumId w:val="0"/>
  </w:num>
  <w:num w:numId="3">
    <w:abstractNumId w:val="7"/>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OTgzMzcwOTg0ZWQxMTJmZTJmODI5YjM4N2E3YWEifQ=="/>
  </w:docVars>
  <w:rsids>
    <w:rsidRoot w:val="553379F3"/>
    <w:rsid w:val="00503A7D"/>
    <w:rsid w:val="008A0C86"/>
    <w:rsid w:val="009141C8"/>
    <w:rsid w:val="009560B8"/>
    <w:rsid w:val="00AA6B5D"/>
    <w:rsid w:val="00B36072"/>
    <w:rsid w:val="00BB2BDD"/>
    <w:rsid w:val="00CE3953"/>
    <w:rsid w:val="00E1048E"/>
    <w:rsid w:val="00FD7A79"/>
    <w:rsid w:val="031B7B25"/>
    <w:rsid w:val="03BA446B"/>
    <w:rsid w:val="05094836"/>
    <w:rsid w:val="06E67645"/>
    <w:rsid w:val="116674C8"/>
    <w:rsid w:val="151C15B0"/>
    <w:rsid w:val="181316CB"/>
    <w:rsid w:val="19412E62"/>
    <w:rsid w:val="1E11297A"/>
    <w:rsid w:val="1E76721B"/>
    <w:rsid w:val="1EA5312C"/>
    <w:rsid w:val="25FD16C1"/>
    <w:rsid w:val="2DEE2E58"/>
    <w:rsid w:val="32FF0A14"/>
    <w:rsid w:val="385E4EF5"/>
    <w:rsid w:val="3A3E43B3"/>
    <w:rsid w:val="3A9B343B"/>
    <w:rsid w:val="3E61429A"/>
    <w:rsid w:val="3F3C0A18"/>
    <w:rsid w:val="41E20C70"/>
    <w:rsid w:val="44DD74AE"/>
    <w:rsid w:val="470F7C87"/>
    <w:rsid w:val="4BC16DDB"/>
    <w:rsid w:val="4BD80FF9"/>
    <w:rsid w:val="4C9D0477"/>
    <w:rsid w:val="4D203CFF"/>
    <w:rsid w:val="4DCD6DC2"/>
    <w:rsid w:val="51CD6FBA"/>
    <w:rsid w:val="553379F3"/>
    <w:rsid w:val="564725AD"/>
    <w:rsid w:val="59876D41"/>
    <w:rsid w:val="5CE31095"/>
    <w:rsid w:val="61067215"/>
    <w:rsid w:val="6DD043EE"/>
    <w:rsid w:val="73D53C40"/>
    <w:rsid w:val="744A3733"/>
    <w:rsid w:val="74EC0485"/>
    <w:rsid w:val="76BD05F1"/>
    <w:rsid w:val="770A70EE"/>
    <w:rsid w:val="78302F76"/>
    <w:rsid w:val="7BE01668"/>
    <w:rsid w:val="7CB167A3"/>
    <w:rsid w:val="7DE8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1"/>
        <w:numId w:val="1"/>
      </w:numPr>
      <w:outlineLvl w:val="1"/>
    </w:pPr>
    <w:rPr>
      <w:rFonts w:eastAsia="黑体"/>
      <w:bCs/>
      <w:sz w:val="30"/>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widowControl w:val="0"/>
      <w:spacing w:after="120" w:line="480" w:lineRule="auto"/>
      <w:ind w:left="420" w:leftChars="200"/>
      <w:jc w:val="both"/>
    </w:pPr>
    <w:rPr>
      <w:rFonts w:ascii="Times New Roman" w:hAnsi="Times New Roman" w:eastAsia="Times New Roman" w:cs="Times New Roman"/>
      <w:color w:val="000000"/>
      <w:kern w:val="2"/>
      <w:sz w:val="21"/>
      <w:szCs w:val="24"/>
      <w:lang w:val="en-US" w:eastAsia="en-US" w:bidi="en-US"/>
    </w:rPr>
  </w:style>
  <w:style w:type="paragraph" w:styleId="4">
    <w:name w:val="annotation text"/>
    <w:basedOn w:val="1"/>
    <w:qFormat/>
    <w:uiPriority w:val="0"/>
    <w:pPr>
      <w:jc w:val="left"/>
    </w:pPr>
  </w:style>
  <w:style w:type="paragraph" w:styleId="5">
    <w:name w:val="index 6"/>
    <w:next w:val="1"/>
    <w:semiHidden/>
    <w:qFormat/>
    <w:uiPriority w:val="99"/>
    <w:pPr>
      <w:widowControl w:val="0"/>
      <w:jc w:val="both"/>
    </w:pPr>
    <w:rPr>
      <w:rFonts w:ascii="仿宋_GB2312" w:hAnsi="黑体" w:eastAsia="仿宋_GB2312" w:cs="仿宋_GB2312"/>
      <w:color w:val="000000"/>
      <w:kern w:val="2"/>
      <w:sz w:val="32"/>
      <w:szCs w:val="32"/>
      <w:lang w:val="en-US" w:eastAsia="zh-CN" w:bidi="ar-SA"/>
    </w:rPr>
  </w:style>
  <w:style w:type="paragraph" w:styleId="6">
    <w:name w:val="Body Text"/>
    <w:basedOn w:val="1"/>
    <w:qFormat/>
    <w:uiPriority w:val="0"/>
    <w:pPr>
      <w:spacing w:after="120"/>
    </w:pPr>
  </w:style>
  <w:style w:type="paragraph" w:styleId="7">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unhideWhenUsed/>
    <w:qFormat/>
    <w:uiPriority w:val="99"/>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szCs w:val="24"/>
      <w:lang w:val="en-US" w:eastAsia="zh-CN" w:bidi="ar-SA"/>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9806</Words>
  <Characters>10318</Characters>
  <Lines>14</Lines>
  <Paragraphs>4</Paragraphs>
  <TotalTime>16</TotalTime>
  <ScaleCrop>false</ScaleCrop>
  <LinksUpToDate>false</LinksUpToDate>
  <CharactersWithSpaces>10647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2019-04-02T12:30:00Z</dcterms:created>
  <dc:creator>LENOCO</dc:creator>
  <cp:lastModifiedBy>信息中心-文档员</cp:lastModifiedBy>
  <cp:lastPrinted>2021-01-22T09:58:00Z</cp:lastPrinted>
  <dcterms:modified xsi:type="dcterms:W3CDTF">2024-06-12T07:50:45Z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F19BA0D8F4EC4D55BAD2BF594EC9930A</vt:lpwstr>
  </property>
</Properties>
</file>