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0" w:firstLineChars="0"/>
        <w:jc w:val="both"/>
        <w:textAlignment w:val="auto"/>
        <w:rPr>
          <w:rFonts w:hint="eastAsia" w:ascii="仿宋_GB2312" w:hAnsi="仿宋_GB2312" w:eastAsia="仿宋_GB2312" w:cs="仿宋_GB2312"/>
          <w:color w:val="000000" w:themeColor="text1"/>
          <w:spacing w:val="-5"/>
          <w:w w:val="95"/>
          <w:sz w:val="32"/>
          <w:szCs w:val="32"/>
          <w:lang w:val="en-US" w:eastAsia="zh-CN"/>
        </w:rPr>
      </w:pPr>
      <w:r>
        <w:rPr>
          <w:rFonts w:hint="eastAsia" w:ascii="仿宋_GB2312" w:hAnsi="仿宋_GB2312" w:eastAsia="仿宋_GB2312" w:cs="仿宋_GB2312"/>
          <w:color w:val="000000" w:themeColor="text1"/>
          <w:spacing w:val="-5"/>
          <w:w w:val="95"/>
          <w:sz w:val="32"/>
          <w:szCs w:val="32"/>
          <w:lang w:val="en-US" w:eastAsia="zh-CN"/>
        </w:rPr>
        <w:t>附件1：</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0" w:firstLineChars="0"/>
        <w:jc w:val="center"/>
        <w:textAlignment w:val="auto"/>
        <w:rPr>
          <w:rFonts w:hint="eastAsia"/>
          <w:color w:val="000000" w:themeColor="text1"/>
          <w:spacing w:val="-5"/>
          <w:w w:val="95"/>
          <w:sz w:val="44"/>
          <w:szCs w:val="44"/>
          <w:lang w:eastAsia="zh-CN"/>
        </w:rPr>
      </w:pPr>
    </w:p>
    <w:p>
      <w:pPr>
        <w:pStyle w:val="3"/>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0" w:firstLineChars="0"/>
        <w:jc w:val="center"/>
        <w:textAlignment w:val="auto"/>
        <w:rPr>
          <w:color w:val="000000" w:themeColor="text1"/>
          <w:spacing w:val="-5"/>
          <w:w w:val="95"/>
          <w:sz w:val="44"/>
          <w:szCs w:val="44"/>
        </w:rPr>
      </w:pPr>
      <w:bookmarkStart w:id="0" w:name="_GoBack"/>
      <w:r>
        <w:rPr>
          <w:rFonts w:hint="eastAsia"/>
          <w:color w:val="000000" w:themeColor="text1"/>
          <w:spacing w:val="-5"/>
          <w:w w:val="95"/>
          <w:sz w:val="44"/>
          <w:szCs w:val="44"/>
          <w:lang w:eastAsia="zh-CN"/>
        </w:rPr>
        <w:t>肃南县</w:t>
      </w:r>
      <w:r>
        <w:rPr>
          <w:color w:val="000000" w:themeColor="text1"/>
          <w:spacing w:val="-5"/>
          <w:w w:val="95"/>
          <w:sz w:val="44"/>
          <w:szCs w:val="44"/>
        </w:rPr>
        <w:t>优化营商环境攻坚突破年行动</w:t>
      </w:r>
      <w:r>
        <w:rPr>
          <w:rFonts w:hint="eastAsia"/>
          <w:color w:val="000000" w:themeColor="text1"/>
          <w:spacing w:val="-5"/>
          <w:w w:val="95"/>
          <w:sz w:val="44"/>
          <w:szCs w:val="44"/>
          <w:lang w:eastAsia="zh-CN"/>
        </w:rPr>
        <w:t>实施</w:t>
      </w:r>
      <w:r>
        <w:rPr>
          <w:color w:val="000000" w:themeColor="text1"/>
          <w:spacing w:val="-5"/>
          <w:w w:val="95"/>
          <w:sz w:val="44"/>
          <w:szCs w:val="44"/>
        </w:rPr>
        <w:t>方案</w:t>
      </w:r>
    </w:p>
    <w:bookmarkEnd w:id="0"/>
    <w:p>
      <w:pPr>
        <w:keepNext w:val="0"/>
        <w:keepLines w:val="0"/>
        <w:pageBreakBefore w:val="0"/>
        <w:kinsoku/>
        <w:wordWrap/>
        <w:overflowPunct/>
        <w:topLinePunct w:val="0"/>
        <w:bidi w:val="0"/>
        <w:adjustRightInd/>
        <w:snapToGrid/>
        <w:spacing w:before="0" w:line="560" w:lineRule="exact"/>
        <w:jc w:val="center"/>
        <w:textAlignment w:val="auto"/>
        <w:rPr>
          <w:color w:val="000000" w:themeColor="text1"/>
          <w:spacing w:val="-5"/>
          <w:w w:val="95"/>
          <w:sz w:val="44"/>
          <w:szCs w:val="44"/>
        </w:rPr>
      </w:pPr>
    </w:p>
    <w:p>
      <w:pPr>
        <w:pStyle w:val="2"/>
        <w:keepNext w:val="0"/>
        <w:keepLines w:val="0"/>
        <w:pageBreakBefore w:val="0"/>
        <w:kinsoku/>
        <w:wordWrap/>
        <w:overflowPunct/>
        <w:topLinePunct w:val="0"/>
        <w:bidi w:val="0"/>
        <w:adjustRightInd/>
        <w:snapToGrid/>
        <w:spacing w:before="0" w:line="560" w:lineRule="exact"/>
        <w:ind w:left="0" w:leftChars="0" w:firstLine="0" w:firstLineChars="0"/>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color w:val="000000" w:themeColor="text1"/>
          <w:spacing w:val="-5"/>
          <w:w w:val="95"/>
          <w:sz w:val="32"/>
          <w:szCs w:val="32"/>
          <w:lang w:val="en-US" w:eastAsia="zh-CN"/>
        </w:rPr>
        <w:t>(征求意见稿)</w:t>
      </w:r>
    </w:p>
    <w:p>
      <w:pPr>
        <w:pStyle w:val="4"/>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color w:val="000000" w:themeColor="text1"/>
          <w:spacing w:val="0"/>
          <w:w w:val="100"/>
          <w:sz w:val="32"/>
          <w:szCs w:val="32"/>
        </w:rPr>
      </w:pPr>
    </w:p>
    <w:p>
      <w:pPr>
        <w:pStyle w:val="4"/>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color w:val="000000" w:themeColor="text1"/>
          <w:spacing w:val="0"/>
          <w:w w:val="100"/>
          <w:sz w:val="32"/>
          <w:szCs w:val="32"/>
          <w:lang w:eastAsia="zh-CN"/>
        </w:rPr>
      </w:pPr>
      <w:r>
        <w:rPr>
          <w:color w:val="000000" w:themeColor="text1"/>
          <w:spacing w:val="0"/>
          <w:w w:val="100"/>
          <w:sz w:val="32"/>
          <w:szCs w:val="32"/>
        </w:rPr>
        <w:t>为认真贯彻落实省委、省政府</w:t>
      </w:r>
      <w:r>
        <w:rPr>
          <w:rFonts w:hint="eastAsia"/>
          <w:color w:val="000000" w:themeColor="text1"/>
          <w:spacing w:val="0"/>
          <w:w w:val="100"/>
          <w:sz w:val="32"/>
          <w:szCs w:val="32"/>
          <w:lang w:eastAsia="zh-CN"/>
        </w:rPr>
        <w:t>、</w:t>
      </w:r>
      <w:r>
        <w:rPr>
          <w:color w:val="000000" w:themeColor="text1"/>
          <w:spacing w:val="0"/>
          <w:w w:val="100"/>
          <w:sz w:val="32"/>
          <w:szCs w:val="32"/>
        </w:rPr>
        <w:t>市委、市政府</w:t>
      </w:r>
      <w:r>
        <w:rPr>
          <w:rFonts w:hint="eastAsia"/>
          <w:color w:val="000000" w:themeColor="text1"/>
          <w:spacing w:val="0"/>
          <w:w w:val="100"/>
          <w:sz w:val="32"/>
          <w:szCs w:val="32"/>
          <w:lang w:eastAsia="zh-CN"/>
        </w:rPr>
        <w:t>和县委、县政府</w:t>
      </w:r>
      <w:r>
        <w:rPr>
          <w:color w:val="000000" w:themeColor="text1"/>
          <w:spacing w:val="0"/>
          <w:w w:val="100"/>
          <w:sz w:val="32"/>
          <w:szCs w:val="32"/>
        </w:rPr>
        <w:t>关于优化营商环境的工作部署，深入开展“优化营商环境攻坚突破年”行动</w:t>
      </w:r>
      <w:r>
        <w:rPr>
          <w:rFonts w:hint="eastAsia"/>
          <w:color w:val="000000" w:themeColor="text1"/>
          <w:spacing w:val="0"/>
          <w:w w:val="100"/>
          <w:sz w:val="32"/>
          <w:szCs w:val="32"/>
          <w:lang w:eastAsia="zh-CN"/>
        </w:rPr>
        <w:t>，扎实</w:t>
      </w:r>
      <w:r>
        <w:rPr>
          <w:color w:val="000000" w:themeColor="text1"/>
          <w:spacing w:val="0"/>
          <w:w w:val="100"/>
          <w:sz w:val="32"/>
          <w:szCs w:val="32"/>
        </w:rPr>
        <w:t>推进“三抓三促”行动走深走实</w:t>
      </w:r>
      <w:r>
        <w:rPr>
          <w:rFonts w:hint="eastAsia"/>
          <w:color w:val="000000" w:themeColor="text1"/>
          <w:spacing w:val="0"/>
          <w:w w:val="100"/>
          <w:sz w:val="32"/>
          <w:szCs w:val="32"/>
          <w:lang w:eastAsia="zh-CN"/>
        </w:rPr>
        <w:t>，</w:t>
      </w:r>
      <w:r>
        <w:rPr>
          <w:color w:val="000000" w:themeColor="text1"/>
          <w:spacing w:val="0"/>
          <w:w w:val="100"/>
          <w:sz w:val="32"/>
          <w:szCs w:val="32"/>
        </w:rPr>
        <w:t>切实推动营商环境“大优化”，</w:t>
      </w:r>
      <w:r>
        <w:rPr>
          <w:rFonts w:hint="eastAsia"/>
          <w:color w:val="000000" w:themeColor="text1"/>
          <w:spacing w:val="0"/>
          <w:w w:val="100"/>
          <w:sz w:val="32"/>
          <w:szCs w:val="32"/>
          <w:lang w:eastAsia="zh-CN"/>
        </w:rPr>
        <w:t>持续激发市场活力，</w:t>
      </w:r>
      <w:r>
        <w:rPr>
          <w:color w:val="000000" w:themeColor="text1"/>
          <w:spacing w:val="0"/>
          <w:w w:val="100"/>
          <w:sz w:val="32"/>
          <w:szCs w:val="32"/>
        </w:rPr>
        <w:t>全力打造市场化、法治化、便利化的优质营商环境，助力县域经济社会高质量发展，结合我</w:t>
      </w:r>
      <w:r>
        <w:rPr>
          <w:rFonts w:hint="eastAsia"/>
          <w:color w:val="000000" w:themeColor="text1"/>
          <w:spacing w:val="0"/>
          <w:w w:val="100"/>
          <w:sz w:val="32"/>
          <w:szCs w:val="32"/>
          <w:lang w:eastAsia="zh-CN"/>
        </w:rPr>
        <w:t>县</w:t>
      </w:r>
      <w:r>
        <w:rPr>
          <w:color w:val="000000" w:themeColor="text1"/>
          <w:spacing w:val="0"/>
          <w:w w:val="100"/>
          <w:sz w:val="32"/>
          <w:szCs w:val="32"/>
        </w:rPr>
        <w:t>实际</w:t>
      </w:r>
      <w:r>
        <w:rPr>
          <w:rFonts w:hint="eastAsia"/>
          <w:color w:val="000000" w:themeColor="text1"/>
          <w:spacing w:val="0"/>
          <w:w w:val="100"/>
          <w:sz w:val="32"/>
          <w:szCs w:val="32"/>
          <w:lang w:eastAsia="zh-CN"/>
        </w:rPr>
        <w:t>，</w:t>
      </w:r>
      <w:r>
        <w:rPr>
          <w:color w:val="000000" w:themeColor="text1"/>
          <w:spacing w:val="0"/>
          <w:w w:val="100"/>
          <w:sz w:val="32"/>
          <w:szCs w:val="32"/>
        </w:rPr>
        <w:t>制定本</w:t>
      </w:r>
      <w:r>
        <w:rPr>
          <w:rFonts w:hint="eastAsia"/>
          <w:color w:val="000000" w:themeColor="text1"/>
          <w:spacing w:val="0"/>
          <w:w w:val="100"/>
          <w:sz w:val="32"/>
          <w:szCs w:val="32"/>
          <w:lang w:eastAsia="zh-CN"/>
        </w:rPr>
        <w:t>实施</w:t>
      </w:r>
      <w:r>
        <w:rPr>
          <w:color w:val="000000" w:themeColor="text1"/>
          <w:spacing w:val="0"/>
          <w:w w:val="100"/>
          <w:sz w:val="32"/>
          <w:szCs w:val="32"/>
        </w:rPr>
        <w:t>方案</w:t>
      </w:r>
      <w:r>
        <w:rPr>
          <w:rFonts w:hint="eastAsia"/>
          <w:color w:val="000000" w:themeColor="text1"/>
          <w:spacing w:val="0"/>
          <w:w w:val="100"/>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eastAsia="黑体"/>
          <w:color w:val="000000" w:themeColor="text1"/>
          <w:spacing w:val="0"/>
          <w:w w:val="100"/>
          <w:sz w:val="32"/>
          <w:szCs w:val="32"/>
        </w:rPr>
      </w:pPr>
      <w:r>
        <w:rPr>
          <w:rFonts w:hint="eastAsia" w:ascii="黑体" w:eastAsia="黑体"/>
          <w:color w:val="000000" w:themeColor="text1"/>
          <w:spacing w:val="0"/>
          <w:w w:val="100"/>
          <w:sz w:val="32"/>
          <w:szCs w:val="32"/>
        </w:rPr>
        <w:t>一、总体要求</w:t>
      </w:r>
    </w:p>
    <w:p>
      <w:pPr>
        <w:pStyle w:val="4"/>
        <w:keepNext w:val="0"/>
        <w:keepLines w:val="0"/>
        <w:pageBreakBefore w:val="0"/>
        <w:widowControl w:val="0"/>
        <w:tabs>
          <w:tab w:val="left" w:pos="3271"/>
          <w:tab w:val="left" w:pos="4219"/>
        </w:tabs>
        <w:kinsoku/>
        <w:wordWrap/>
        <w:overflowPunct/>
        <w:topLinePunct w:val="0"/>
        <w:autoSpaceDE/>
        <w:autoSpaceDN/>
        <w:bidi w:val="0"/>
        <w:adjustRightInd/>
        <w:snapToGrid/>
        <w:spacing w:before="0" w:line="560" w:lineRule="exact"/>
        <w:ind w:left="0" w:right="0" w:firstLine="640" w:firstLineChars="200"/>
        <w:jc w:val="both"/>
        <w:textAlignment w:val="auto"/>
        <w:rPr>
          <w:color w:val="000000" w:themeColor="text1"/>
          <w:spacing w:val="0"/>
          <w:w w:val="100"/>
          <w:sz w:val="32"/>
          <w:szCs w:val="32"/>
        </w:rPr>
      </w:pPr>
      <w:r>
        <w:rPr>
          <w:rFonts w:hint="eastAsia" w:ascii="楷体_GB2312" w:eastAsia="楷体_GB2312"/>
          <w:color w:val="000000" w:themeColor="text1"/>
          <w:spacing w:val="0"/>
          <w:w w:val="100"/>
          <w:sz w:val="32"/>
          <w:szCs w:val="32"/>
        </w:rPr>
        <w:t>（一）指导思想</w:t>
      </w:r>
      <w:r>
        <w:rPr>
          <w:rFonts w:hint="eastAsia" w:ascii="楷体_GB2312" w:eastAsia="楷体_GB2312"/>
          <w:color w:val="000000" w:themeColor="text1"/>
          <w:spacing w:val="0"/>
          <w:w w:val="100"/>
          <w:sz w:val="32"/>
          <w:szCs w:val="32"/>
          <w:lang w:eastAsia="zh-CN"/>
        </w:rPr>
        <w:t>。</w:t>
      </w:r>
      <w:r>
        <w:rPr>
          <w:color w:val="000000" w:themeColor="text1"/>
          <w:spacing w:val="0"/>
          <w:w w:val="100"/>
          <w:sz w:val="32"/>
          <w:szCs w:val="32"/>
        </w:rPr>
        <w:t>坚持以习近平新时代中国特色社会主义思想为指导，全面贯彻落实党的二十大精神和习近平总书记对甘肃重要讲话重要指示批示精神，紧紧围绕市第五次党代会及市委五届五次全会暨市委经济工作会议、县委县政府安排部署，进一步强化危机意识</w:t>
      </w:r>
      <w:r>
        <w:rPr>
          <w:rFonts w:hint="eastAsia"/>
          <w:color w:val="000000" w:themeColor="text1"/>
          <w:spacing w:val="0"/>
          <w:w w:val="100"/>
          <w:sz w:val="32"/>
          <w:szCs w:val="32"/>
          <w:lang w:eastAsia="zh-CN"/>
        </w:rPr>
        <w:t>、</w:t>
      </w:r>
      <w:r>
        <w:rPr>
          <w:color w:val="000000" w:themeColor="text1"/>
          <w:spacing w:val="0"/>
          <w:w w:val="100"/>
          <w:sz w:val="32"/>
          <w:szCs w:val="32"/>
        </w:rPr>
        <w:t>赶超意识，以市场主体需求为导向，以深刻转变政府职能为核心，对标营商环境评价指标体系，聚焦营商环境重点领域和薄弱环节，坚持创新突破、问题导向、对标对表、督查问效四项原则，加大改革创新力度，瞄准问题短板促攻坚，突出指标追赶求突破，着力提升企业和群众满意度，激发市场主体活力和社会创造力，全力打造行政办事高效、政务服务规范、法治体系完善</w:t>
      </w:r>
      <w:r>
        <w:rPr>
          <w:rFonts w:hint="eastAsia"/>
          <w:color w:val="000000" w:themeColor="text1"/>
          <w:spacing w:val="0"/>
          <w:w w:val="100"/>
          <w:sz w:val="32"/>
          <w:szCs w:val="32"/>
          <w:lang w:eastAsia="zh-CN"/>
        </w:rPr>
        <w:t>、</w:t>
      </w:r>
      <w:r>
        <w:rPr>
          <w:color w:val="000000" w:themeColor="text1"/>
          <w:spacing w:val="0"/>
          <w:w w:val="100"/>
          <w:sz w:val="32"/>
          <w:szCs w:val="32"/>
        </w:rPr>
        <w:t>投资</w:t>
      </w:r>
      <w:r>
        <w:rPr>
          <w:rFonts w:hint="eastAsia"/>
          <w:color w:val="000000" w:themeColor="text1"/>
          <w:spacing w:val="0"/>
          <w:w w:val="100"/>
          <w:sz w:val="32"/>
          <w:szCs w:val="32"/>
          <w:lang w:eastAsia="zh-CN"/>
        </w:rPr>
        <w:t>环境</w:t>
      </w:r>
      <w:r>
        <w:rPr>
          <w:color w:val="000000" w:themeColor="text1"/>
          <w:spacing w:val="0"/>
          <w:w w:val="100"/>
          <w:sz w:val="32"/>
          <w:szCs w:val="32"/>
        </w:rPr>
        <w:t>便利的一流营商环境，加快社会主义现代化幸福美好新</w:t>
      </w:r>
      <w:r>
        <w:rPr>
          <w:rFonts w:hint="eastAsia"/>
          <w:color w:val="000000" w:themeColor="text1"/>
          <w:spacing w:val="0"/>
          <w:w w:val="100"/>
          <w:sz w:val="32"/>
          <w:szCs w:val="32"/>
          <w:lang w:eastAsia="zh-CN"/>
        </w:rPr>
        <w:t>肃南</w:t>
      </w:r>
      <w:r>
        <w:rPr>
          <w:color w:val="000000" w:themeColor="text1"/>
          <w:spacing w:val="0"/>
          <w:w w:val="100"/>
          <w:sz w:val="32"/>
          <w:szCs w:val="32"/>
        </w:rPr>
        <w:t>建设步伐。</w:t>
      </w:r>
    </w:p>
    <w:p>
      <w:pPr>
        <w:keepNext w:val="0"/>
        <w:keepLines w:val="0"/>
        <w:pageBreakBefore w:val="0"/>
        <w:widowControl w:val="0"/>
        <w:kinsoku/>
        <w:wordWrap/>
        <w:overflowPunct/>
        <w:topLinePunct w:val="0"/>
        <w:autoSpaceDE/>
        <w:autoSpaceDN/>
        <w:bidi w:val="0"/>
        <w:adjustRightInd/>
        <w:snapToGrid/>
        <w:spacing w:before="0" w:line="560" w:lineRule="exact"/>
        <w:ind w:firstLine="640" w:firstLineChars="200"/>
        <w:jc w:val="both"/>
        <w:textAlignment w:val="auto"/>
        <w:rPr>
          <w:rFonts w:hint="eastAsia" w:ascii="仿宋_GB2312" w:hAnsi="仿宋_GB2312" w:eastAsia="仿宋_GB2312" w:cs="仿宋_GB2312"/>
          <w:color w:val="000000" w:themeColor="text1"/>
          <w:spacing w:val="0"/>
          <w:w w:val="100"/>
          <w:sz w:val="32"/>
          <w:szCs w:val="32"/>
          <w:lang w:val="en-US" w:eastAsia="zh-CN" w:bidi="zh-CN"/>
        </w:rPr>
      </w:pPr>
      <w:r>
        <w:rPr>
          <w:rFonts w:hint="eastAsia" w:ascii="楷体_GB2312" w:hAnsi="仿宋_GB2312" w:eastAsia="楷体_GB2312" w:cs="仿宋_GB2312"/>
          <w:color w:val="000000" w:themeColor="text1"/>
          <w:spacing w:val="0"/>
          <w:w w:val="100"/>
          <w:sz w:val="32"/>
          <w:szCs w:val="32"/>
          <w:lang w:val="zh-CN" w:eastAsia="zh-CN" w:bidi="zh-CN"/>
        </w:rPr>
        <w:t>（二）攻坚目标。</w:t>
      </w:r>
      <w:r>
        <w:rPr>
          <w:rFonts w:ascii="仿宋_GB2312" w:hAnsi="仿宋_GB2312" w:eastAsia="仿宋_GB2312" w:cs="仿宋_GB2312"/>
          <w:color w:val="000000" w:themeColor="text1"/>
          <w:spacing w:val="0"/>
          <w:w w:val="100"/>
          <w:sz w:val="32"/>
          <w:szCs w:val="32"/>
          <w:lang w:val="zh-CN" w:eastAsia="zh-CN" w:bidi="zh-CN"/>
        </w:rPr>
        <w:t>锚定</w:t>
      </w:r>
      <w:r>
        <w:rPr>
          <w:rFonts w:hint="eastAsia" w:ascii="仿宋_GB2312" w:hAnsi="仿宋_GB2312" w:eastAsia="仿宋_GB2312" w:cs="仿宋_GB2312"/>
          <w:color w:val="000000" w:themeColor="text1"/>
          <w:spacing w:val="0"/>
          <w:w w:val="100"/>
          <w:sz w:val="32"/>
          <w:szCs w:val="32"/>
          <w:lang w:val="zh-CN" w:eastAsia="zh-CN" w:bidi="zh-CN"/>
        </w:rPr>
        <w:t>助推全市</w:t>
      </w:r>
      <w:r>
        <w:rPr>
          <w:rFonts w:ascii="仿宋_GB2312" w:hAnsi="仿宋_GB2312" w:eastAsia="仿宋_GB2312" w:cs="仿宋_GB2312"/>
          <w:color w:val="000000" w:themeColor="text1"/>
          <w:spacing w:val="0"/>
          <w:w w:val="100"/>
          <w:sz w:val="32"/>
          <w:szCs w:val="32"/>
          <w:lang w:val="zh-CN" w:eastAsia="zh-CN" w:bidi="zh-CN"/>
        </w:rPr>
        <w:t>“2024年进入国家标杆城市”的总体目标定位，坚持抓改革、优环境、促发展，对标营商环境评价指标体系，以</w:t>
      </w:r>
      <w:r>
        <w:rPr>
          <w:rFonts w:hint="eastAsia" w:ascii="仿宋_GB2312" w:hAnsi="仿宋_GB2312" w:eastAsia="仿宋_GB2312" w:cs="仿宋_GB2312"/>
          <w:color w:val="000000" w:themeColor="text1"/>
          <w:spacing w:val="0"/>
          <w:w w:val="100"/>
          <w:sz w:val="32"/>
          <w:szCs w:val="32"/>
          <w:lang w:val="zh-CN" w:eastAsia="zh-CN" w:bidi="zh-CN"/>
        </w:rPr>
        <w:t>全省、全市</w:t>
      </w:r>
      <w:r>
        <w:rPr>
          <w:rFonts w:ascii="仿宋_GB2312" w:hAnsi="仿宋_GB2312" w:eastAsia="仿宋_GB2312" w:cs="仿宋_GB2312"/>
          <w:color w:val="000000" w:themeColor="text1"/>
          <w:spacing w:val="0"/>
          <w:w w:val="100"/>
          <w:sz w:val="32"/>
          <w:szCs w:val="32"/>
          <w:lang w:val="zh-CN" w:eastAsia="zh-CN" w:bidi="zh-CN"/>
        </w:rPr>
        <w:t>最优为标杆，全面实施优化营商环境对标提升行动，补短板强弱项，增优势缩差距，聚力打造</w:t>
      </w:r>
      <w:r>
        <w:rPr>
          <w:rFonts w:hint="eastAsia" w:ascii="仿宋_GB2312" w:hAnsi="仿宋_GB2312" w:eastAsia="仿宋_GB2312" w:cs="仿宋_GB2312"/>
          <w:color w:val="000000" w:themeColor="text1"/>
          <w:spacing w:val="0"/>
          <w:w w:val="100"/>
          <w:sz w:val="32"/>
          <w:szCs w:val="32"/>
          <w:lang w:val="zh-CN" w:eastAsia="zh-CN" w:bidi="zh-CN"/>
        </w:rPr>
        <w:t>更有吸引力、更具竞争力、更富活力的发展环境，到</w:t>
      </w:r>
      <w:r>
        <w:rPr>
          <w:rFonts w:hint="eastAsia" w:ascii="仿宋_GB2312" w:hAnsi="仿宋_GB2312" w:eastAsia="仿宋_GB2312" w:cs="仿宋_GB2312"/>
          <w:color w:val="000000" w:themeColor="text1"/>
          <w:spacing w:val="0"/>
          <w:w w:val="100"/>
          <w:sz w:val="32"/>
          <w:szCs w:val="32"/>
          <w:lang w:val="en-US" w:eastAsia="zh-CN" w:bidi="zh-CN"/>
        </w:rPr>
        <w:t>2023年底我县营商环境评价位次进入全市前列，信用体系建设、市场监管、包容普惠创新、获得电力、劳动力市场监管5项以上指标进入全省标杆行列。</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黑体" w:eastAsia="黑体"/>
          <w:color w:val="000000" w:themeColor="text1"/>
          <w:spacing w:val="0"/>
          <w:w w:val="100"/>
          <w:lang w:eastAsia="zh-CN"/>
        </w:rPr>
      </w:pPr>
      <w:r>
        <w:rPr>
          <w:rFonts w:hint="eastAsia" w:ascii="黑体" w:eastAsia="黑体"/>
          <w:color w:val="000000" w:themeColor="text1"/>
          <w:spacing w:val="0"/>
          <w:w w:val="100"/>
        </w:rPr>
        <w:t>二、</w:t>
      </w:r>
      <w:r>
        <w:rPr>
          <w:rFonts w:hint="eastAsia" w:ascii="黑体" w:eastAsia="黑体"/>
          <w:color w:val="000000" w:themeColor="text1"/>
          <w:spacing w:val="0"/>
          <w:w w:val="100"/>
          <w:lang w:val="en-US" w:eastAsia="zh-CN"/>
        </w:rPr>
        <w:t>提高认识，强化能力，引领营商环境取得新突破</w:t>
      </w:r>
    </w:p>
    <w:p>
      <w:pPr>
        <w:pStyle w:val="4"/>
        <w:keepNext w:val="0"/>
        <w:keepLines w:val="0"/>
        <w:pageBreakBefore w:val="0"/>
        <w:widowControl w:val="0"/>
        <w:tabs>
          <w:tab w:val="left" w:pos="4224"/>
          <w:tab w:val="left" w:pos="6122"/>
        </w:tabs>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color w:val="000000" w:themeColor="text1"/>
          <w:spacing w:val="0"/>
          <w:w w:val="100"/>
          <w:lang w:eastAsia="zh-CN"/>
        </w:rPr>
      </w:pPr>
      <w:r>
        <w:rPr>
          <w:rFonts w:hint="eastAsia" w:ascii="楷体_GB2312" w:hAnsi="楷体_GB2312" w:eastAsia="楷体_GB2312"/>
          <w:color w:val="000000" w:themeColor="text1"/>
          <w:spacing w:val="0"/>
          <w:w w:val="100"/>
        </w:rPr>
        <w:t>（一）</w:t>
      </w:r>
      <w:r>
        <w:rPr>
          <w:rFonts w:hint="eastAsia" w:ascii="楷体_GB2312" w:hAnsi="楷体_GB2312" w:eastAsia="楷体_GB2312"/>
          <w:color w:val="000000" w:themeColor="text1"/>
          <w:spacing w:val="0"/>
          <w:w w:val="100"/>
          <w:lang w:eastAsia="zh-CN"/>
        </w:rPr>
        <w:t>统一思想认识</w:t>
      </w:r>
      <w:r>
        <w:rPr>
          <w:rFonts w:hint="eastAsia" w:ascii="楷体_GB2312" w:hAnsi="楷体_GB2312" w:eastAsia="楷体_GB2312"/>
          <w:color w:val="000000" w:themeColor="text1"/>
          <w:spacing w:val="0"/>
          <w:w w:val="100"/>
        </w:rPr>
        <w:t>，</w:t>
      </w:r>
      <w:r>
        <w:rPr>
          <w:rFonts w:hint="eastAsia" w:ascii="楷体_GB2312" w:hAnsi="楷体_GB2312" w:eastAsia="楷体_GB2312"/>
          <w:color w:val="000000" w:themeColor="text1"/>
          <w:spacing w:val="0"/>
          <w:w w:val="100"/>
          <w:lang w:eastAsia="zh-CN"/>
        </w:rPr>
        <w:t>强化责任落实。</w:t>
      </w:r>
      <w:r>
        <w:rPr>
          <w:rFonts w:hint="eastAsia"/>
          <w:color w:val="000000" w:themeColor="text1"/>
          <w:spacing w:val="0"/>
          <w:w w:val="100"/>
          <w:lang w:eastAsia="zh-CN"/>
        </w:rPr>
        <w:t>适时召开全县“优化营商环境攻坚突破年”工作推进会议，进一步统一思想、认清形势，树牢“抓好营商环境就是抓发展，不抓营商环境就是失职、抓不好营商环境就是不称职”的理念，传导工作压力、压实工作责任。以省评反馈问题和全市督查发现问题整改为抓手，突出重点、强力攻坚，以全市最优为目标，制定整改方案，强化责任落实，持续推进整改提升，推动营商环境持续优化提升。进一步增强优化营商环境的危机感和紧迫感，坚决杜绝“平稳守摊子、躺平混日子”思想，强化问题导向补短板、突出比较优势锻长板、强化使命担当抓改革，释放“优化营商环境不止步、服务市场主体再加力”的鲜明信号，大力营造重商兴商、亲商爱商、护商安商、利商富商浓厚氛围，以营商环境大改善助力发展质效</w:t>
      </w:r>
      <w:r>
        <w:rPr>
          <w:rFonts w:hint="eastAsia"/>
          <w:b w:val="0"/>
          <w:bCs w:val="0"/>
          <w:color w:val="000000" w:themeColor="text1"/>
          <w:spacing w:val="0"/>
          <w:w w:val="100"/>
          <w:lang w:eastAsia="zh-CN"/>
        </w:rPr>
        <w:t>大提升</w:t>
      </w:r>
      <w:r>
        <w:rPr>
          <w:rFonts w:hint="eastAsia"/>
          <w:color w:val="000000" w:themeColor="text1"/>
          <w:spacing w:val="0"/>
          <w:w w:val="100"/>
          <w:lang w:eastAsia="zh-CN"/>
        </w:rPr>
        <w:t>。</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color w:val="000000" w:themeColor="text1"/>
          <w:spacing w:val="0"/>
          <w:w w:val="100"/>
          <w:lang w:eastAsia="zh-CN"/>
        </w:rPr>
      </w:pPr>
      <w:r>
        <w:rPr>
          <w:rFonts w:hint="eastAsia" w:ascii="楷体_GB2312" w:eastAsia="楷体_GB2312"/>
          <w:color w:val="000000" w:themeColor="text1"/>
          <w:spacing w:val="0"/>
          <w:w w:val="100"/>
        </w:rPr>
        <w:t>（二）增强业务能力</w:t>
      </w:r>
      <w:r>
        <w:rPr>
          <w:rFonts w:hint="eastAsia" w:ascii="楷体_GB2312" w:eastAsia="楷体_GB2312"/>
          <w:color w:val="000000" w:themeColor="text1"/>
          <w:spacing w:val="0"/>
          <w:w w:val="100"/>
          <w:lang w:eastAsia="zh-CN"/>
        </w:rPr>
        <w:t>，</w:t>
      </w:r>
      <w:r>
        <w:rPr>
          <w:rFonts w:hint="eastAsia" w:ascii="楷体_GB2312" w:eastAsia="楷体_GB2312"/>
          <w:color w:val="000000" w:themeColor="text1"/>
          <w:spacing w:val="0"/>
          <w:w w:val="100"/>
        </w:rPr>
        <w:t>提升服务本领</w:t>
      </w:r>
      <w:r>
        <w:rPr>
          <w:rFonts w:hint="eastAsia" w:ascii="楷体_GB2312" w:eastAsia="楷体_GB2312"/>
          <w:color w:val="000000" w:themeColor="text1"/>
          <w:spacing w:val="0"/>
          <w:w w:val="100"/>
          <w:lang w:eastAsia="zh-CN"/>
        </w:rPr>
        <w:t>。</w:t>
      </w:r>
      <w:r>
        <w:rPr>
          <w:rFonts w:hint="eastAsia" w:ascii="仿宋_GB2312" w:hAnsi="仿宋_GB2312" w:eastAsia="仿宋_GB2312" w:cs="仿宋_GB2312"/>
          <w:b w:val="0"/>
          <w:bCs w:val="0"/>
          <w:color w:val="000000" w:themeColor="text1"/>
          <w:sz w:val="32"/>
          <w:szCs w:val="32"/>
          <w:highlight w:val="none"/>
          <w:u w:val="none"/>
          <w:lang w:val="en-US" w:eastAsia="zh-CN"/>
        </w:rPr>
        <w:t>举办全县强工业抓招商</w:t>
      </w:r>
      <w:r>
        <w:rPr>
          <w:rFonts w:hint="eastAsia" w:ascii="仿宋_GB2312" w:hAnsi="仿宋_GB2312" w:eastAsia="仿宋_GB2312" w:cs="仿宋_GB2312"/>
          <w:color w:val="000000" w:themeColor="text1"/>
          <w:sz w:val="32"/>
          <w:szCs w:val="32"/>
        </w:rPr>
        <w:t>优化营商环境专题培训、</w:t>
      </w:r>
      <w:r>
        <w:rPr>
          <w:rFonts w:hint="eastAsia" w:ascii="仿宋_GB2312" w:hAnsi="仿宋_GB2312" w:eastAsia="仿宋_GB2312" w:cs="仿宋_GB2312"/>
          <w:color w:val="000000" w:themeColor="text1"/>
          <w:sz w:val="32"/>
          <w:szCs w:val="32"/>
          <w:lang w:eastAsia="zh-CN"/>
        </w:rPr>
        <w:t>能力</w:t>
      </w:r>
      <w:r>
        <w:rPr>
          <w:rFonts w:hint="eastAsia" w:ascii="仿宋_GB2312" w:hAnsi="仿宋_GB2312" w:eastAsia="仿宋_GB2312" w:cs="仿宋_GB2312"/>
          <w:color w:val="000000" w:themeColor="text1"/>
          <w:sz w:val="32"/>
          <w:szCs w:val="32"/>
        </w:rPr>
        <w:t>提升培训、专家辅导等系列培训活动，持续增强服务企业和群众的能力水平。</w:t>
      </w:r>
      <w:r>
        <w:rPr>
          <w:rFonts w:hint="eastAsia" w:ascii="仿宋_GB2312" w:hAnsi="仿宋_GB2312" w:eastAsia="仿宋_GB2312" w:cs="仿宋_GB2312"/>
          <w:color w:val="000000" w:themeColor="text1"/>
          <w:sz w:val="32"/>
          <w:szCs w:val="32"/>
          <w:highlight w:val="none"/>
          <w:u w:val="none"/>
          <w:lang w:val="en-US" w:eastAsia="zh-CN"/>
        </w:rPr>
        <w:t>组织领导干部分批次赴国家试点城市和先进地区观摩学习</w:t>
      </w:r>
      <w:r>
        <w:rPr>
          <w:rFonts w:hint="eastAsia" w:ascii="仿宋_GB2312" w:hAnsi="仿宋_GB2312" w:eastAsia="仿宋_GB2312" w:cs="仿宋_GB2312"/>
          <w:color w:val="000000" w:themeColor="text1"/>
          <w:sz w:val="32"/>
          <w:szCs w:val="32"/>
        </w:rPr>
        <w:t>先进理念和经验做法</w:t>
      </w:r>
      <w:r>
        <w:rPr>
          <w:rFonts w:hint="eastAsia" w:ascii="仿宋_GB2312" w:hAnsi="仿宋_GB2312" w:eastAsia="仿宋_GB2312" w:cs="仿宋_GB2312"/>
          <w:color w:val="000000" w:themeColor="text1"/>
          <w:sz w:val="32"/>
          <w:szCs w:val="32"/>
          <w:highlight w:val="none"/>
          <w:u w:val="none"/>
          <w:lang w:val="en-US" w:eastAsia="zh-CN"/>
        </w:rPr>
        <w:t>，</w:t>
      </w:r>
      <w:r>
        <w:rPr>
          <w:rFonts w:hint="eastAsia" w:ascii="仿宋_GB2312" w:hAnsi="仿宋_GB2312" w:eastAsia="仿宋_GB2312" w:cs="仿宋_GB2312"/>
          <w:color w:val="000000" w:themeColor="text1"/>
          <w:sz w:val="32"/>
          <w:szCs w:val="32"/>
          <w:lang w:eastAsia="zh-CN"/>
        </w:rPr>
        <w:t>推荐</w:t>
      </w:r>
      <w:r>
        <w:rPr>
          <w:rFonts w:hint="eastAsia" w:ascii="仿宋_GB2312" w:hAnsi="仿宋_GB2312" w:eastAsia="仿宋_GB2312" w:cs="仿宋_GB2312"/>
          <w:color w:val="000000" w:themeColor="text1"/>
          <w:sz w:val="32"/>
          <w:szCs w:val="32"/>
        </w:rPr>
        <w:t>干部到</w:t>
      </w:r>
      <w:r>
        <w:rPr>
          <w:rFonts w:hint="eastAsia" w:ascii="仿宋_GB2312" w:hAnsi="仿宋_GB2312" w:eastAsia="仿宋_GB2312" w:cs="仿宋_GB2312"/>
          <w:color w:val="000000" w:themeColor="text1"/>
          <w:sz w:val="32"/>
          <w:szCs w:val="32"/>
          <w:lang w:eastAsia="zh-CN"/>
        </w:rPr>
        <w:t>市直工业经济运行、招商引资</w:t>
      </w:r>
      <w:r>
        <w:rPr>
          <w:rFonts w:hint="eastAsia" w:cs="仿宋_GB2312"/>
          <w:color w:val="000000" w:themeColor="text1"/>
          <w:sz w:val="32"/>
          <w:szCs w:val="32"/>
          <w:lang w:eastAsia="zh-CN"/>
        </w:rPr>
        <w:t>等</w:t>
      </w:r>
      <w:r>
        <w:rPr>
          <w:rFonts w:hint="eastAsia" w:ascii="仿宋_GB2312" w:hAnsi="仿宋_GB2312" w:eastAsia="仿宋_GB2312" w:cs="仿宋_GB2312"/>
          <w:color w:val="000000" w:themeColor="text1"/>
          <w:sz w:val="32"/>
          <w:szCs w:val="32"/>
          <w:lang w:eastAsia="zh-CN"/>
        </w:rPr>
        <w:t>职能部门挂职锻炼，选派干部到重点</w:t>
      </w:r>
      <w:r>
        <w:rPr>
          <w:rFonts w:hint="eastAsia" w:ascii="仿宋_GB2312" w:hAnsi="仿宋_GB2312" w:eastAsia="仿宋_GB2312" w:cs="仿宋_GB2312"/>
          <w:color w:val="000000" w:themeColor="text1"/>
          <w:sz w:val="32"/>
          <w:szCs w:val="32"/>
        </w:rPr>
        <w:t>企业</w:t>
      </w:r>
      <w:r>
        <w:rPr>
          <w:rFonts w:hint="eastAsia" w:ascii="仿宋_GB2312" w:hAnsi="仿宋_GB2312" w:eastAsia="仿宋_GB2312" w:cs="仿宋_GB2312"/>
          <w:color w:val="000000" w:themeColor="text1"/>
          <w:sz w:val="32"/>
          <w:szCs w:val="32"/>
          <w:lang w:eastAsia="zh-CN"/>
        </w:rPr>
        <w:t>驻点联系服务</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聚焦</w:t>
      </w:r>
      <w:r>
        <w:rPr>
          <w:rFonts w:hint="eastAsia" w:ascii="仿宋_GB2312" w:hAnsi="仿宋_GB2312" w:eastAsia="仿宋_GB2312" w:cs="仿宋_GB2312"/>
          <w:color w:val="000000" w:themeColor="text1"/>
          <w:sz w:val="32"/>
          <w:szCs w:val="32"/>
        </w:rPr>
        <w:t>审批难审批慢、准入不准营、惠企政策落实慢、政务数据共享难、市场主体融资贵等重点问题，精准靶向施策，增强政策供给的针对性和实效性，不断提升服务市场主体的能力</w:t>
      </w:r>
      <w:r>
        <w:rPr>
          <w:rFonts w:hint="eastAsia"/>
          <w:color w:val="000000" w:themeColor="text1"/>
          <w:spacing w:val="0"/>
          <w:w w:val="100"/>
          <w:lang w:eastAsia="zh-CN"/>
        </w:rPr>
        <w:t>水平。</w:t>
      </w:r>
    </w:p>
    <w:p>
      <w:pPr>
        <w:pStyle w:val="4"/>
        <w:keepNext w:val="0"/>
        <w:keepLines w:val="0"/>
        <w:pageBreakBefore w:val="0"/>
        <w:widowControl w:val="0"/>
        <w:tabs>
          <w:tab w:val="left" w:pos="4843"/>
        </w:tabs>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color w:val="000000" w:themeColor="text1"/>
          <w:spacing w:val="0"/>
          <w:w w:val="100"/>
          <w:lang w:eastAsia="zh-CN"/>
        </w:rPr>
      </w:pPr>
      <w:r>
        <w:rPr>
          <w:rFonts w:hint="eastAsia" w:ascii="楷体_GB2312" w:hAnsi="楷体_GB2312" w:eastAsia="楷体_GB2312"/>
          <w:color w:val="000000" w:themeColor="text1"/>
          <w:spacing w:val="0"/>
          <w:w w:val="100"/>
        </w:rPr>
        <w:t>（三）</w:t>
      </w:r>
      <w:r>
        <w:rPr>
          <w:rFonts w:hint="eastAsia" w:ascii="楷体_GB2312" w:hAnsi="楷体_GB2312" w:eastAsia="楷体_GB2312"/>
          <w:color w:val="000000" w:themeColor="text1"/>
          <w:spacing w:val="0"/>
          <w:w w:val="100"/>
          <w:lang w:eastAsia="zh-CN"/>
        </w:rPr>
        <w:t>强化服务意识</w:t>
      </w:r>
      <w:r>
        <w:rPr>
          <w:rFonts w:hint="eastAsia" w:ascii="楷体_GB2312" w:hAnsi="楷体_GB2312" w:eastAsia="楷体_GB2312"/>
          <w:color w:val="000000" w:themeColor="text1"/>
          <w:spacing w:val="0"/>
          <w:w w:val="100"/>
        </w:rPr>
        <w:t>，锤炼过硬</w:t>
      </w:r>
      <w:r>
        <w:rPr>
          <w:rFonts w:hint="eastAsia" w:ascii="楷体_GB2312" w:hAnsi="楷体_GB2312" w:eastAsia="楷体_GB2312"/>
          <w:color w:val="000000" w:themeColor="text1"/>
          <w:spacing w:val="0"/>
          <w:w w:val="100"/>
          <w:lang w:eastAsia="zh-CN"/>
        </w:rPr>
        <w:t>素质</w:t>
      </w:r>
      <w:r>
        <w:rPr>
          <w:rFonts w:hint="eastAsia" w:ascii="楷体_GB2312" w:hAnsi="楷体_GB2312" w:eastAsia="楷体_GB2312"/>
          <w:color w:val="000000" w:themeColor="text1"/>
          <w:spacing w:val="0"/>
          <w:w w:val="100"/>
        </w:rPr>
        <w:t>。</w:t>
      </w:r>
      <w:r>
        <w:rPr>
          <w:color w:val="000000" w:themeColor="text1"/>
          <w:spacing w:val="0"/>
          <w:w w:val="100"/>
        </w:rPr>
        <w:t>结合“三抓三促”行动，持续转变政府职能，创造良好发展环境，构建亲清政商关系，不断提升服务型政府建设水平。开展营商环境调研走访，按季度设立“企业家交流日”，围绕市场主体在项目审批建设、企业准入经营、产业链发展、优惠政策落实等方面的困难和需求，开展走访调研、现场办公、</w:t>
      </w:r>
      <w:r>
        <w:rPr>
          <w:rFonts w:hint="eastAsia"/>
          <w:color w:val="000000" w:themeColor="text1"/>
          <w:spacing w:val="0"/>
          <w:w w:val="100"/>
          <w:lang w:eastAsia="zh-CN"/>
        </w:rPr>
        <w:t>交流座谈，为企业当好最强后盾、最优伙伴。</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黑体" w:eastAsia="黑体"/>
          <w:color w:val="000000" w:themeColor="text1"/>
          <w:spacing w:val="0"/>
          <w:w w:val="100"/>
          <w:lang w:eastAsia="zh-CN"/>
        </w:rPr>
      </w:pPr>
      <w:r>
        <w:rPr>
          <w:rFonts w:hint="eastAsia" w:ascii="黑体" w:eastAsia="黑体"/>
          <w:color w:val="000000" w:themeColor="text1"/>
          <w:spacing w:val="0"/>
          <w:w w:val="100"/>
        </w:rPr>
        <w:t>三、</w:t>
      </w:r>
      <w:r>
        <w:rPr>
          <w:rFonts w:hint="eastAsia" w:ascii="黑体" w:eastAsia="黑体"/>
          <w:color w:val="000000" w:themeColor="text1"/>
          <w:spacing w:val="0"/>
          <w:w w:val="100"/>
          <w:lang w:val="en-US" w:eastAsia="zh-CN"/>
        </w:rPr>
        <w:t>优化服务，提升质效，推动具体任务取得新突破</w:t>
      </w:r>
    </w:p>
    <w:p>
      <w:pPr>
        <w:pStyle w:val="4"/>
        <w:keepNext w:val="0"/>
        <w:keepLines w:val="0"/>
        <w:pageBreakBefore w:val="0"/>
        <w:widowControl w:val="0"/>
        <w:tabs>
          <w:tab w:val="left" w:pos="2851"/>
          <w:tab w:val="left" w:pos="3101"/>
          <w:tab w:val="left" w:pos="3972"/>
          <w:tab w:val="left" w:pos="5662"/>
        </w:tabs>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lang w:val="en-US" w:eastAsia="zh-CN"/>
        </w:rPr>
      </w:pPr>
      <w:r>
        <w:rPr>
          <w:rFonts w:hint="eastAsia" w:ascii="楷体_GB2312" w:hAnsi="楷体_GB2312" w:eastAsia="楷体_GB2312"/>
          <w:color w:val="000000" w:themeColor="text1"/>
          <w:spacing w:val="0"/>
          <w:w w:val="100"/>
        </w:rPr>
        <w:t>（一）企业开办</w:t>
      </w:r>
      <w:r>
        <w:rPr>
          <w:rFonts w:hint="eastAsia" w:ascii="楷体_GB2312" w:hAnsi="楷体_GB2312" w:eastAsia="楷体_GB2312"/>
          <w:color w:val="000000" w:themeColor="text1"/>
          <w:spacing w:val="0"/>
          <w:w w:val="100"/>
          <w:lang w:eastAsia="zh-CN"/>
        </w:rPr>
        <w:t>。</w:t>
      </w:r>
      <w:r>
        <w:rPr>
          <w:rFonts w:hint="eastAsia" w:ascii="仿宋_GB2312" w:hAnsi="仿宋_GB2312" w:eastAsia="仿宋_GB2312" w:cs="仿宋_GB2312"/>
          <w:color w:val="000000" w:themeColor="text1"/>
          <w:sz w:val="32"/>
          <w:szCs w:val="32"/>
        </w:rPr>
        <w:t>推行企业登记、申领发票和税控设备、员工参保登记、住房公积金企业缴存登记线上“一表填报”办理，</w:t>
      </w:r>
      <w:r>
        <w:rPr>
          <w:rFonts w:hint="eastAsia" w:ascii="仿宋_GB2312" w:hAnsi="仿宋_GB2312" w:eastAsia="仿宋_GB2312" w:cs="仿宋_GB2312"/>
          <w:color w:val="000000" w:themeColor="text1"/>
          <w:sz w:val="32"/>
          <w:szCs w:val="32"/>
          <w:lang w:val="en-US" w:eastAsia="zh-CN"/>
        </w:rPr>
        <w:t>持续提升企业开办线上“一网通办”、线下“一窗通办”效能，实现全流程1个环节、0.5天办结。</w:t>
      </w:r>
      <w:r>
        <w:rPr>
          <w:rFonts w:hint="eastAsia" w:ascii="仿宋_GB2312" w:hAnsi="仿宋_GB2312" w:eastAsia="仿宋_GB2312" w:cs="仿宋_GB2312"/>
          <w:color w:val="000000" w:themeColor="text1"/>
          <w:sz w:val="32"/>
          <w:szCs w:val="32"/>
        </w:rPr>
        <w:t>允许商事主体“一照多址”“一址多照”。推行新开办企业免费刻章，试点开展歇业备案制度。对营业执照丢失或损坏申请补领的，不再登报声明作废，申请人在国家企业信用信息公示系统（甘肃）上公示“营业执照作废声明”后，即可办理营业执照补领手续。</w:t>
      </w:r>
      <w:r>
        <w:rPr>
          <w:rFonts w:hint="eastAsia" w:ascii="仿宋_GB2312" w:hAnsi="仿宋_GB2312" w:eastAsia="仿宋_GB2312" w:cs="仿宋_GB2312"/>
          <w:color w:val="000000" w:themeColor="text1"/>
          <w:sz w:val="32"/>
          <w:szCs w:val="32"/>
          <w:lang w:val="en-US" w:eastAsia="zh-CN"/>
        </w:rPr>
        <w:t>强化部门间数据共享和业务协同，优化企业注销流程，建立健全市场主体歇业备案制度。</w:t>
      </w:r>
    </w:p>
    <w:p>
      <w:pPr>
        <w:pStyle w:val="4"/>
        <w:keepNext w:val="0"/>
        <w:keepLines w:val="0"/>
        <w:pageBreakBefore w:val="0"/>
        <w:widowControl w:val="0"/>
        <w:tabs>
          <w:tab w:val="left" w:pos="2851"/>
          <w:tab w:val="left" w:pos="3101"/>
          <w:tab w:val="left" w:pos="3972"/>
          <w:tab w:val="left" w:pos="5662"/>
        </w:tabs>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color w:val="000000" w:themeColor="text1"/>
          <w:spacing w:val="0"/>
          <w:w w:val="100"/>
          <w:lang w:eastAsia="zh-CN"/>
        </w:rPr>
      </w:pPr>
      <w:r>
        <w:rPr>
          <w:rFonts w:hint="eastAsia" w:ascii="楷体_GB2312" w:hAnsi="楷体_GB2312" w:eastAsia="楷体_GB2312"/>
          <w:color w:val="000000" w:themeColor="text1"/>
          <w:spacing w:val="0"/>
          <w:w w:val="100"/>
        </w:rPr>
        <w:t>（二）办理建筑许可。</w:t>
      </w:r>
      <w:r>
        <w:rPr>
          <w:rFonts w:hint="eastAsia" w:ascii="仿宋_GB2312" w:hAnsi="仿宋_GB2312" w:eastAsia="仿宋_GB2312" w:cs="仿宋_GB2312"/>
          <w:b w:val="0"/>
          <w:bCs w:val="0"/>
          <w:color w:val="000000" w:themeColor="text1"/>
          <w:sz w:val="32"/>
          <w:szCs w:val="32"/>
          <w:lang w:eastAsia="zh-CN"/>
        </w:rPr>
        <w:t>进一步提升工程建设项目审批平台应用水平，强化“一张蓝图”策划项目生成，统筹汇聚红线要素形成“项目用地清单”，辅助项目落地。全面推行“一张蓝图把控+区域评估”</w:t>
      </w:r>
      <w:r>
        <w:rPr>
          <w:rFonts w:hint="eastAsia" w:cs="仿宋_GB2312"/>
          <w:b w:val="0"/>
          <w:bCs w:val="0"/>
          <w:color w:val="000000" w:themeColor="text1"/>
          <w:sz w:val="32"/>
          <w:szCs w:val="32"/>
          <w:lang w:eastAsia="zh-CN"/>
        </w:rPr>
        <w:t>、</w:t>
      </w:r>
      <w:r>
        <w:rPr>
          <w:rFonts w:hint="eastAsia" w:ascii="仿宋_GB2312" w:hAnsi="仿宋_GB2312" w:eastAsia="仿宋_GB2312" w:cs="仿宋_GB2312"/>
          <w:b w:val="0"/>
          <w:bCs w:val="0"/>
          <w:color w:val="000000" w:themeColor="text1"/>
          <w:sz w:val="32"/>
          <w:szCs w:val="32"/>
          <w:lang w:eastAsia="zh-CN"/>
        </w:rPr>
        <w:t>“标准地”供地、“亩均效益”综合评价、企业投资建设项目信用承诺制改革，持续提升工业项目落地速度。深入推进工程建设项目“全流程、全覆盖”在线审批，全面开展项目前期辅导“帮办代办”“告知承诺”，落实“减税降费”政策，推行“一套图纸”数字化管理，强化“并联审批”“联合测绘”、多段式“联合验收”等改革措施落实，强化“中介超市”入驻工作，进一步拓宽电子证照应用覆盖面，社会投资简易低风险项目全流程审批时间压减至4个工作日；一般社会投资房建市政项目全流程审批</w:t>
      </w:r>
      <w:r>
        <w:rPr>
          <w:rFonts w:hint="eastAsia"/>
          <w:color w:val="000000" w:themeColor="text1"/>
          <w:spacing w:val="0"/>
          <w:w w:val="100"/>
          <w:lang w:eastAsia="zh-CN"/>
        </w:rPr>
        <w:t>时间压减至55个工作日；一般工业项目审批流程压减至45个工作日。</w:t>
      </w:r>
    </w:p>
    <w:p>
      <w:pPr>
        <w:pStyle w:val="4"/>
        <w:keepNext w:val="0"/>
        <w:keepLines w:val="0"/>
        <w:pageBreakBefore w:val="0"/>
        <w:widowControl w:val="0"/>
        <w:tabs>
          <w:tab w:val="left" w:pos="1601"/>
          <w:tab w:val="left" w:pos="3274"/>
          <w:tab w:val="left" w:pos="6770"/>
        </w:tabs>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color w:val="000000" w:themeColor="text1"/>
          <w:spacing w:val="0"/>
          <w:w w:val="100"/>
          <w:lang w:eastAsia="zh-CN"/>
        </w:rPr>
      </w:pPr>
      <w:r>
        <w:rPr>
          <w:rFonts w:hint="eastAsia" w:ascii="楷体_GB2312" w:hAnsi="楷体_GB2312" w:eastAsia="楷体_GB2312"/>
          <w:color w:val="000000" w:themeColor="text1"/>
          <w:spacing w:val="0"/>
          <w:w w:val="100"/>
        </w:rPr>
        <w:t>（三）获得电力</w:t>
      </w:r>
      <w:r>
        <w:rPr>
          <w:rFonts w:hint="eastAsia" w:ascii="楷体_GB2312" w:hAnsi="楷体_GB2312" w:eastAsia="楷体_GB2312"/>
          <w:color w:val="000000" w:themeColor="text1"/>
          <w:spacing w:val="0"/>
          <w:w w:val="100"/>
          <w:lang w:eastAsia="zh-CN"/>
        </w:rPr>
        <w:t>。</w:t>
      </w:r>
      <w:r>
        <w:rPr>
          <w:color w:val="000000" w:themeColor="text1"/>
          <w:spacing w:val="0"/>
          <w:w w:val="100"/>
        </w:rPr>
        <w:t>用电报装流程压减至2个环节，低压居民</w:t>
      </w:r>
      <w:r>
        <w:rPr>
          <w:rFonts w:hint="eastAsia"/>
          <w:color w:val="000000" w:themeColor="text1"/>
          <w:spacing w:val="0"/>
          <w:w w:val="100"/>
          <w:lang w:eastAsia="zh-CN"/>
        </w:rPr>
        <w:t>、</w:t>
      </w:r>
      <w:r>
        <w:rPr>
          <w:color w:val="000000" w:themeColor="text1"/>
          <w:spacing w:val="0"/>
          <w:w w:val="100"/>
        </w:rPr>
        <w:t>低压非居民客户全流程办电时间分别压减至</w:t>
      </w:r>
      <w:r>
        <w:rPr>
          <w:rFonts w:hint="eastAsia"/>
          <w:color w:val="000000" w:themeColor="text1"/>
          <w:spacing w:val="0"/>
          <w:w w:val="100"/>
          <w:lang w:val="en-US" w:eastAsia="zh-CN"/>
        </w:rPr>
        <w:t>2</w:t>
      </w:r>
      <w:r>
        <w:rPr>
          <w:color w:val="000000" w:themeColor="text1"/>
          <w:spacing w:val="0"/>
          <w:w w:val="100"/>
        </w:rPr>
        <w:t>个</w:t>
      </w:r>
      <w:r>
        <w:rPr>
          <w:rFonts w:hint="eastAsia"/>
          <w:color w:val="000000" w:themeColor="text1"/>
          <w:spacing w:val="0"/>
          <w:w w:val="100"/>
          <w:lang w:eastAsia="zh-CN"/>
        </w:rPr>
        <w:t>、</w:t>
      </w:r>
      <w:r>
        <w:rPr>
          <w:color w:val="000000" w:themeColor="text1"/>
          <w:spacing w:val="0"/>
          <w:w w:val="100"/>
        </w:rPr>
        <w:t>1</w:t>
      </w:r>
      <w:r>
        <w:rPr>
          <w:rFonts w:hint="eastAsia"/>
          <w:color w:val="000000" w:themeColor="text1"/>
          <w:spacing w:val="0"/>
          <w:w w:val="100"/>
          <w:lang w:val="en-US" w:eastAsia="zh-CN"/>
        </w:rPr>
        <w:t>0</w:t>
      </w:r>
      <w:r>
        <w:rPr>
          <w:color w:val="000000" w:themeColor="text1"/>
          <w:spacing w:val="0"/>
          <w:w w:val="100"/>
        </w:rPr>
        <w:t>个工作日内</w:t>
      </w:r>
      <w:r>
        <w:rPr>
          <w:rFonts w:hint="eastAsia"/>
          <w:color w:val="000000" w:themeColor="text1"/>
          <w:spacing w:val="0"/>
          <w:w w:val="100"/>
          <w:lang w:eastAsia="zh-CN"/>
        </w:rPr>
        <w:t>，</w:t>
      </w:r>
      <w:r>
        <w:rPr>
          <w:color w:val="000000" w:themeColor="text1"/>
          <w:spacing w:val="0"/>
          <w:w w:val="100"/>
        </w:rPr>
        <w:t>企业高压单电源客户、高压双电源客户涉及供电企业办电时间分别压减至</w:t>
      </w:r>
      <w:r>
        <w:rPr>
          <w:rFonts w:hint="eastAsia"/>
          <w:color w:val="000000" w:themeColor="text1"/>
          <w:spacing w:val="0"/>
          <w:w w:val="100"/>
          <w:lang w:val="en-US" w:eastAsia="zh-CN"/>
        </w:rPr>
        <w:t>17</w:t>
      </w:r>
      <w:r>
        <w:rPr>
          <w:color w:val="000000" w:themeColor="text1"/>
          <w:spacing w:val="0"/>
          <w:w w:val="100"/>
        </w:rPr>
        <w:t>个、</w:t>
      </w:r>
      <w:r>
        <w:rPr>
          <w:rFonts w:hint="eastAsia"/>
          <w:color w:val="000000" w:themeColor="text1"/>
          <w:spacing w:val="0"/>
          <w:w w:val="100"/>
          <w:lang w:val="en-US" w:eastAsia="zh-CN"/>
        </w:rPr>
        <w:t>2</w:t>
      </w:r>
      <w:r>
        <w:rPr>
          <w:color w:val="000000" w:themeColor="text1"/>
          <w:spacing w:val="0"/>
          <w:w w:val="100"/>
        </w:rPr>
        <w:t>2个工作日内。完善电力不间断供给保障措施。建立全过程办电监督管控系统，探索高压用户红线外接入工程投资“政企共担”模式</w:t>
      </w:r>
      <w:r>
        <w:rPr>
          <w:rFonts w:hint="eastAsia"/>
          <w:color w:val="000000" w:themeColor="text1"/>
          <w:spacing w:val="0"/>
          <w:w w:val="100"/>
          <w:lang w:eastAsia="zh-CN"/>
        </w:rPr>
        <w:t>。</w:t>
      </w:r>
    </w:p>
    <w:p>
      <w:pPr>
        <w:pStyle w:val="4"/>
        <w:keepNext w:val="0"/>
        <w:keepLines w:val="0"/>
        <w:pageBreakBefore w:val="0"/>
        <w:widowControl w:val="0"/>
        <w:tabs>
          <w:tab w:val="left" w:pos="1601"/>
          <w:tab w:val="left" w:pos="3274"/>
          <w:tab w:val="left" w:pos="6770"/>
        </w:tabs>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color w:val="000000" w:themeColor="text1"/>
          <w:spacing w:val="0"/>
          <w:w w:val="100"/>
          <w:lang w:eastAsia="zh-CN"/>
        </w:rPr>
      </w:pPr>
      <w:r>
        <w:rPr>
          <w:rFonts w:hint="eastAsia" w:ascii="楷体_GB2312" w:hAnsi="楷体_GB2312" w:eastAsia="楷体_GB2312"/>
          <w:color w:val="000000" w:themeColor="text1"/>
          <w:spacing w:val="0"/>
          <w:w w:val="100"/>
        </w:rPr>
        <w:t>（四）获得用水用气。</w:t>
      </w:r>
      <w:r>
        <w:rPr>
          <w:rFonts w:hint="eastAsia" w:ascii="仿宋_GB2312" w:hAnsi="仿宋_GB2312" w:eastAsia="仿宋_GB2312" w:cs="仿宋_GB2312"/>
          <w:b w:val="0"/>
          <w:bCs w:val="0"/>
          <w:color w:val="000000" w:themeColor="text1"/>
          <w:sz w:val="32"/>
          <w:szCs w:val="32"/>
          <w:lang w:eastAsia="zh-CN"/>
        </w:rPr>
        <w:t>依托工程建设项目审批管理系统全面落实“互联网+用水、用气服务”，优化市政公用服务程序，规范合理性收费、边界外“零收费”，落实价格联动机制建设，主动靠前服务，将市政报装业务提前至工程建设许可阶段办理，实现企业“无感报装”。大力推行水电气暖通信外线接入工程网上一表申请、并联审批、同步办理，建立市政报装“派单制”工作机制。积极打造“一个章子管挖占”并联监管机制，</w:t>
      </w:r>
      <w:r>
        <w:rPr>
          <w:rFonts w:hint="eastAsia" w:ascii="仿宋_GB2312" w:hAnsi="Times New Roman" w:eastAsia="仿宋_GB2312" w:cs="仿宋_GB2312"/>
          <w:b w:val="0"/>
          <w:bCs w:val="0"/>
          <w:i w:val="0"/>
          <w:iCs w:val="0"/>
          <w:caps w:val="0"/>
          <w:color w:val="000000" w:themeColor="text1"/>
          <w:spacing w:val="0"/>
          <w:sz w:val="32"/>
          <w:szCs w:val="32"/>
          <w:lang w:val="en-US" w:eastAsia="zh-CN"/>
        </w:rPr>
        <w:t>精减报装材料，优化报装流程，</w:t>
      </w:r>
      <w:r>
        <w:rPr>
          <w:rFonts w:hint="eastAsia" w:ascii="仿宋_GB2312" w:hAnsi="仿宋_GB2312" w:eastAsia="仿宋_GB2312" w:cs="仿宋_GB2312"/>
          <w:b w:val="0"/>
          <w:bCs w:val="0"/>
          <w:color w:val="000000" w:themeColor="text1"/>
          <w:sz w:val="32"/>
          <w:szCs w:val="32"/>
          <w:lang w:eastAsia="zh-CN"/>
        </w:rPr>
        <w:t>将用水、用气报装申请材料压减至1份，从受理用户申请至通水通气分别为</w:t>
      </w:r>
      <w:r>
        <w:rPr>
          <w:rFonts w:hint="eastAsia" w:ascii="仿宋_GB2312" w:hAnsi="仿宋_GB2312" w:eastAsia="仿宋_GB2312" w:cs="仿宋_GB2312"/>
          <w:b w:val="0"/>
          <w:bCs w:val="0"/>
          <w:color w:val="000000" w:themeColor="text1"/>
          <w:sz w:val="32"/>
          <w:szCs w:val="32"/>
          <w:lang w:val="en-US" w:eastAsia="zh-CN"/>
        </w:rPr>
        <w:t>1</w:t>
      </w:r>
      <w:r>
        <w:rPr>
          <w:rFonts w:hint="eastAsia" w:ascii="仿宋_GB2312" w:hAnsi="仿宋_GB2312" w:eastAsia="仿宋_GB2312" w:cs="仿宋_GB2312"/>
          <w:b w:val="0"/>
          <w:bCs w:val="0"/>
          <w:color w:val="000000" w:themeColor="text1"/>
          <w:sz w:val="32"/>
          <w:szCs w:val="32"/>
          <w:lang w:eastAsia="zh-CN"/>
        </w:rPr>
        <w:t>个、</w:t>
      </w:r>
      <w:r>
        <w:rPr>
          <w:rFonts w:hint="eastAsia" w:ascii="仿宋_GB2312" w:hAnsi="仿宋_GB2312" w:eastAsia="仿宋_GB2312" w:cs="仿宋_GB2312"/>
          <w:b w:val="0"/>
          <w:bCs w:val="0"/>
          <w:color w:val="000000" w:themeColor="text1"/>
          <w:sz w:val="32"/>
          <w:szCs w:val="32"/>
          <w:lang w:val="en-US" w:eastAsia="zh-CN"/>
        </w:rPr>
        <w:t>2</w:t>
      </w:r>
      <w:r>
        <w:rPr>
          <w:rFonts w:hint="eastAsia" w:ascii="仿宋_GB2312" w:hAnsi="仿宋_GB2312" w:eastAsia="仿宋_GB2312" w:cs="仿宋_GB2312"/>
          <w:b w:val="0"/>
          <w:bCs w:val="0"/>
          <w:color w:val="000000" w:themeColor="text1"/>
          <w:sz w:val="32"/>
          <w:szCs w:val="32"/>
          <w:lang w:eastAsia="zh-CN"/>
        </w:rPr>
        <w:t>个工作日（不包含外线工程规划、工程施工及气密性实验等特殊环节</w:t>
      </w:r>
      <w:r>
        <w:rPr>
          <w:rFonts w:hint="eastAsia"/>
          <w:color w:val="000000" w:themeColor="text1"/>
          <w:spacing w:val="0"/>
          <w:w w:val="100"/>
          <w:lang w:eastAsia="zh-CN"/>
        </w:rPr>
        <w:t>时长）。</w:t>
      </w:r>
    </w:p>
    <w:p>
      <w:pPr>
        <w:keepNext w:val="0"/>
        <w:keepLines w:val="0"/>
        <w:pageBreakBefore w:val="0"/>
        <w:widowControl w:val="0"/>
        <w:kinsoku/>
        <w:wordWrap/>
        <w:overflowPunct/>
        <w:topLinePunct w:val="0"/>
        <w:autoSpaceDE/>
        <w:autoSpaceDN/>
        <w:bidi w:val="0"/>
        <w:adjustRightInd/>
        <w:snapToGrid/>
        <w:spacing w:before="0" w:line="560" w:lineRule="exact"/>
        <w:ind w:firstLine="640" w:firstLineChars="200"/>
        <w:jc w:val="both"/>
        <w:textAlignment w:val="auto"/>
        <w:outlineLvl w:val="9"/>
        <w:rPr>
          <w:rFonts w:hint="eastAsia" w:ascii="仿宋_GB2312" w:hAnsi="仿宋_GB2312" w:eastAsia="仿宋_GB2312" w:cs="仿宋_GB2312"/>
          <w:color w:val="000000" w:themeColor="text1"/>
          <w:spacing w:val="0"/>
          <w:w w:val="100"/>
          <w:kern w:val="2"/>
          <w:sz w:val="32"/>
          <w:szCs w:val="32"/>
          <w:lang w:val="zh-CN" w:eastAsia="zh-CN" w:bidi="zh-CN"/>
        </w:rPr>
      </w:pPr>
      <w:r>
        <w:rPr>
          <w:rFonts w:hint="eastAsia" w:ascii="楷体_GB2312" w:hAnsi="楷体_GB2312" w:eastAsia="楷体_GB2312"/>
          <w:color w:val="000000" w:themeColor="text1"/>
          <w:spacing w:val="0"/>
          <w:w w:val="100"/>
          <w:sz w:val="32"/>
          <w:szCs w:val="32"/>
          <w:lang w:eastAsia="zh-CN"/>
        </w:rPr>
        <w:t>（五）</w:t>
      </w:r>
      <w:r>
        <w:rPr>
          <w:rFonts w:hint="eastAsia" w:ascii="楷体_GB2312" w:hAnsi="楷体_GB2312" w:eastAsia="楷体_GB2312"/>
          <w:color w:val="000000" w:themeColor="text1"/>
          <w:spacing w:val="0"/>
          <w:w w:val="100"/>
          <w:sz w:val="32"/>
          <w:szCs w:val="32"/>
        </w:rPr>
        <w:t>登记财产</w:t>
      </w:r>
      <w:r>
        <w:rPr>
          <w:rFonts w:hint="eastAsia" w:ascii="楷体_GB2312" w:hAnsi="楷体_GB2312" w:eastAsia="楷体_GB2312"/>
          <w:color w:val="000000" w:themeColor="text1"/>
          <w:spacing w:val="0"/>
          <w:w w:val="100"/>
          <w:sz w:val="32"/>
          <w:szCs w:val="32"/>
          <w:lang w:eastAsia="zh-CN"/>
        </w:rPr>
        <w:t>。</w:t>
      </w:r>
      <w:r>
        <w:rPr>
          <w:rFonts w:hint="eastAsia" w:ascii="仿宋_GB2312" w:hAnsi="仿宋_GB2312" w:eastAsia="仿宋_GB2312" w:cs="仿宋_GB2312"/>
          <w:color w:val="000000" w:themeColor="text1"/>
          <w:kern w:val="0"/>
          <w:sz w:val="32"/>
          <w:szCs w:val="32"/>
          <w:lang w:val="en-US" w:eastAsia="zh-CN" w:bidi="ar"/>
        </w:rPr>
        <w:t>加强“互联网+不动产登记”平台的优化推广，推进企业不动产登记业务线上办理，预约线下窗口办理，强化企业绿色通道窗口服务工作和企业转移不动产登记、抵押登记合并办理。进一步优化合并办理流程，企业不动产转移登记环节压减至1个环节。实现交易、税收、登记“一窗办理，集成服务”，普及电子发票在不动产登记业务中的推广应用。进一步压缩办理时限，</w:t>
      </w:r>
      <w:r>
        <w:rPr>
          <w:rFonts w:hint="eastAsia" w:ascii="仿宋_GB2312" w:eastAsia="仿宋_GB2312"/>
          <w:color w:val="000000" w:themeColor="text1"/>
          <w:sz w:val="32"/>
          <w:szCs w:val="32"/>
        </w:rPr>
        <w:t>按照“前台统一受理、后台分类办理、统一窗口出件、证书快递送达”的工作要求开展业务，实现企业</w:t>
      </w:r>
      <w:r>
        <w:rPr>
          <w:rFonts w:hint="eastAsia" w:ascii="仿宋_GB2312" w:eastAsia="仿宋_GB2312"/>
          <w:color w:val="000000" w:themeColor="text1"/>
          <w:sz w:val="32"/>
          <w:szCs w:val="32"/>
          <w:lang w:val="en-US" w:eastAsia="zh-CN"/>
        </w:rPr>
        <w:t>间</w:t>
      </w:r>
      <w:r>
        <w:rPr>
          <w:rFonts w:hint="eastAsia" w:ascii="仿宋_GB2312" w:eastAsia="仿宋_GB2312"/>
          <w:color w:val="000000" w:themeColor="text1"/>
          <w:sz w:val="32"/>
          <w:szCs w:val="32"/>
        </w:rPr>
        <w:t>不动产登记“最多跑一次”</w:t>
      </w:r>
      <w:r>
        <w:rPr>
          <w:rFonts w:hint="eastAsia" w:ascii="仿宋_GB2312" w:eastAsia="仿宋_GB2312"/>
          <w:color w:val="000000" w:themeColor="text1"/>
          <w:sz w:val="32"/>
          <w:szCs w:val="32"/>
          <w:lang w:eastAsia="zh-CN"/>
        </w:rPr>
        <w:t>，</w:t>
      </w:r>
      <w:r>
        <w:rPr>
          <w:rFonts w:ascii="仿宋_GB2312" w:hAnsi="仿宋_GB2312" w:eastAsia="仿宋_GB2312" w:cs="仿宋_GB2312"/>
          <w:color w:val="000000" w:themeColor="text1"/>
          <w:kern w:val="1"/>
          <w:sz w:val="32"/>
          <w:szCs w:val="32"/>
        </w:rPr>
        <w:t>除</w:t>
      </w:r>
      <w:r>
        <w:rPr>
          <w:rFonts w:hint="eastAsia" w:ascii="仿宋_GB2312" w:hAnsi="仿宋_GB2312" w:eastAsia="仿宋_GB2312" w:cs="仿宋_GB2312"/>
          <w:color w:val="000000" w:themeColor="text1"/>
          <w:kern w:val="1"/>
          <w:sz w:val="32"/>
          <w:szCs w:val="32"/>
        </w:rPr>
        <w:t>了</w:t>
      </w:r>
      <w:r>
        <w:rPr>
          <w:rFonts w:ascii="仿宋_GB2312" w:hAnsi="仿宋_GB2312" w:eastAsia="仿宋_GB2312" w:cs="仿宋_GB2312"/>
          <w:color w:val="000000" w:themeColor="text1"/>
          <w:kern w:val="1"/>
          <w:sz w:val="32"/>
          <w:szCs w:val="32"/>
        </w:rPr>
        <w:t>需公告的登记事项之外，一般不动产登记事项</w:t>
      </w:r>
      <w:r>
        <w:rPr>
          <w:rFonts w:hint="eastAsia" w:ascii="仿宋_GB2312" w:hAnsi="仿宋_GB2312" w:eastAsia="仿宋_GB2312" w:cs="仿宋_GB2312"/>
          <w:color w:val="000000" w:themeColor="text1"/>
          <w:kern w:val="1"/>
          <w:sz w:val="32"/>
          <w:szCs w:val="32"/>
          <w:lang w:val="en-US" w:eastAsia="zh-CN"/>
        </w:rPr>
        <w:t>和</w:t>
      </w:r>
      <w:r>
        <w:rPr>
          <w:rFonts w:hint="eastAsia" w:ascii="仿宋_GB2312" w:hAnsi="仿宋_GB2312" w:eastAsia="仿宋_GB2312" w:cs="仿宋_GB2312"/>
          <w:color w:val="000000" w:themeColor="text1"/>
          <w:kern w:val="1"/>
          <w:sz w:val="32"/>
          <w:szCs w:val="32"/>
        </w:rPr>
        <w:t>抵押权登记</w:t>
      </w:r>
      <w:r>
        <w:rPr>
          <w:rFonts w:ascii="仿宋_GB2312" w:hAnsi="仿宋_GB2312" w:eastAsia="仿宋_GB2312" w:cs="仿宋_GB2312"/>
          <w:color w:val="000000" w:themeColor="text1"/>
          <w:kern w:val="1"/>
          <w:sz w:val="32"/>
          <w:szCs w:val="32"/>
        </w:rPr>
        <w:t>均在</w:t>
      </w:r>
      <w:r>
        <w:rPr>
          <w:rFonts w:hint="eastAsia" w:ascii="仿宋_GB2312" w:hAnsi="仿宋_GB2312" w:eastAsia="仿宋_GB2312" w:cs="仿宋_GB2312"/>
          <w:color w:val="000000" w:themeColor="text1"/>
          <w:kern w:val="1"/>
          <w:sz w:val="32"/>
          <w:szCs w:val="32"/>
          <w:lang w:val="en-US" w:eastAsia="zh-CN"/>
        </w:rPr>
        <w:t>0.</w:t>
      </w:r>
      <w:r>
        <w:rPr>
          <w:rFonts w:ascii="仿宋_GB2312" w:hAnsi="仿宋_GB2312" w:eastAsia="仿宋_GB2312" w:cs="仿宋_GB2312"/>
          <w:color w:val="000000" w:themeColor="text1"/>
          <w:kern w:val="1"/>
          <w:sz w:val="32"/>
          <w:szCs w:val="32"/>
        </w:rPr>
        <w:t>5个工作日内办结</w:t>
      </w:r>
      <w:r>
        <w:rPr>
          <w:rFonts w:hint="eastAsia" w:ascii="仿宋_GB2312" w:hAnsi="仿宋_GB2312" w:eastAsia="仿宋_GB2312" w:cs="仿宋_GB2312"/>
          <w:color w:val="000000" w:themeColor="text1"/>
          <w:kern w:val="1"/>
          <w:sz w:val="32"/>
          <w:szCs w:val="32"/>
          <w:lang w:eastAsia="zh-CN"/>
        </w:rPr>
        <w:t>。</w:t>
      </w:r>
      <w:r>
        <w:rPr>
          <w:rFonts w:hint="eastAsia" w:ascii="仿宋_GB2312" w:hAnsi="仿宋_GB2312" w:eastAsia="仿宋_GB2312" w:cs="仿宋_GB2312"/>
          <w:color w:val="000000" w:themeColor="text1"/>
          <w:kern w:val="1"/>
          <w:sz w:val="32"/>
          <w:szCs w:val="32"/>
          <w:lang w:val="en-US" w:eastAsia="zh-CN"/>
        </w:rPr>
        <w:t>加强部门协作，按照我县业务需求优化网络，加快完善</w:t>
      </w:r>
      <w:r>
        <w:rPr>
          <w:rFonts w:hint="eastAsia" w:ascii="仿宋_GB2312" w:hAnsi="仿宋_GB2312" w:eastAsia="仿宋_GB2312" w:cs="仿宋_GB2312"/>
          <w:color w:val="000000" w:themeColor="text1"/>
          <w:kern w:val="0"/>
          <w:sz w:val="32"/>
          <w:szCs w:val="32"/>
          <w:lang w:val="en-US" w:eastAsia="zh-CN" w:bidi="ar"/>
        </w:rPr>
        <w:t>房产交易异地缴纳模块，实现房产交易税款异地缴纳。继续加大不动产电子证照汇集和生成，拓宽电子证照在政府服务、法院查封、金融机构、公用设施服务机构中的应用渠道。全面落实收费项目取消、减免等政策，面向小微企业（含个体工商户）免收不动产登记费，对已列入小微企业名录的，登记机构主动减免不动产登记费，对不在小微企业名录范围又申请减免的，推行告知承</w:t>
      </w:r>
      <w:r>
        <w:rPr>
          <w:rFonts w:hint="eastAsia" w:ascii="仿宋_GB2312" w:hAnsi="仿宋_GB2312" w:eastAsia="仿宋_GB2312" w:cs="仿宋_GB2312"/>
          <w:color w:val="000000" w:themeColor="text1"/>
          <w:spacing w:val="0"/>
          <w:w w:val="100"/>
          <w:kern w:val="2"/>
          <w:sz w:val="32"/>
          <w:szCs w:val="32"/>
          <w:lang w:val="en-US" w:eastAsia="zh-CN" w:bidi="zh-CN"/>
        </w:rPr>
        <w:t>诺制。</w:t>
      </w:r>
    </w:p>
    <w:p>
      <w:pPr>
        <w:pStyle w:val="4"/>
        <w:keepNext w:val="0"/>
        <w:keepLines w:val="0"/>
        <w:pageBreakBefore w:val="0"/>
        <w:widowControl w:val="0"/>
        <w:tabs>
          <w:tab w:val="left" w:pos="8006"/>
        </w:tabs>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color w:val="000000" w:themeColor="text1"/>
          <w:spacing w:val="0"/>
          <w:w w:val="100"/>
          <w:lang w:eastAsia="zh-CN"/>
        </w:rPr>
      </w:pPr>
      <w:r>
        <w:rPr>
          <w:rFonts w:hint="eastAsia" w:ascii="楷体_GB2312" w:hAnsi="楷体_GB2312" w:eastAsia="楷体_GB2312"/>
          <w:color w:val="000000" w:themeColor="text1"/>
          <w:spacing w:val="0"/>
          <w:w w:val="100"/>
        </w:rPr>
        <w:t>（六）纳税。</w:t>
      </w:r>
      <w:r>
        <w:rPr>
          <w:color w:val="000000" w:themeColor="text1"/>
          <w:spacing w:val="0"/>
          <w:w w:val="100"/>
        </w:rPr>
        <w:t>探索整合企业所得税和财产行为税综合申报，实现多税种“一个入口、一张报表、一次申报、一次缴款、一张凭证”，进一步压减纳税人申报和缴税次数。探索推进动态“信用+风险”税务监控，努力实现从“以票管税”向“以数治税”分类精准监管转变。持续优化税费优惠政策享受方式和渠道，不断提高政策精准推送质效。深入开展第32个全国税收宣传月活动。优化企业税收优惠政策享受方式。全面推行“非接触式”办税，实现退税全流程电子化，年纳税缴费时间压减至90个小时内。进一步优化增值税留抵退税办理方式，增值税留抵退税平均审核时间压减至3个工作日内</w:t>
      </w:r>
      <w:r>
        <w:rPr>
          <w:rFonts w:hint="eastAsia"/>
          <w:color w:val="000000" w:themeColor="text1"/>
          <w:spacing w:val="0"/>
          <w:w w:val="100"/>
          <w:lang w:eastAsia="zh-CN"/>
        </w:rPr>
        <w:t>。</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color w:val="000000" w:themeColor="text1"/>
          <w:spacing w:val="0"/>
          <w:w w:val="100"/>
          <w:lang w:eastAsia="zh-CN"/>
        </w:rPr>
      </w:pPr>
      <w:r>
        <w:rPr>
          <w:rFonts w:hint="eastAsia" w:ascii="楷体_GB2312" w:eastAsia="楷体_GB2312"/>
          <w:color w:val="000000" w:themeColor="text1"/>
          <w:spacing w:val="0"/>
          <w:w w:val="100"/>
        </w:rPr>
        <w:t>（七）跨境贸易。</w:t>
      </w:r>
      <w:r>
        <w:rPr>
          <w:rFonts w:hint="eastAsia" w:ascii="仿宋_GB2312" w:hAnsi="仿宋_GB2312" w:eastAsia="仿宋_GB2312" w:cs="仿宋_GB2312"/>
          <w:color w:val="000000" w:themeColor="text1"/>
          <w:sz w:val="32"/>
          <w:szCs w:val="32"/>
        </w:rPr>
        <w:t>积极配合</w:t>
      </w:r>
      <w:r>
        <w:rPr>
          <w:rFonts w:hint="eastAsia" w:ascii="仿宋_GB2312" w:hAnsi="仿宋_GB2312" w:eastAsia="仿宋_GB2312" w:cs="仿宋_GB2312"/>
          <w:color w:val="000000" w:themeColor="text1"/>
          <w:sz w:val="32"/>
          <w:szCs w:val="32"/>
          <w:lang w:val="en-US" w:eastAsia="zh-CN"/>
        </w:rPr>
        <w:t>市直部门及</w:t>
      </w:r>
      <w:r>
        <w:rPr>
          <w:rFonts w:hint="eastAsia" w:ascii="仿宋_GB2312" w:hAnsi="仿宋_GB2312" w:eastAsia="仿宋_GB2312" w:cs="仿宋_GB2312"/>
          <w:color w:val="000000" w:themeColor="text1"/>
          <w:sz w:val="32"/>
          <w:szCs w:val="32"/>
        </w:rPr>
        <w:t>酒泉海关做好跨境贸易便利化工作，推行“提前申报”“两步申报”“两段准入”改革，实施7×24小时全天候预约通关，对重点企业实行“一对一”联络机制。配合市直部门充分发挥出口信用保险支持政策作用，增强外贸经济、跨境电商、海外仓建设运营风险防范化解能力</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配合市直部门协调优化海关备案流程，积极探索推进海外智慧物流平台建设，引导海外仓企业加强与铁路、航运、航空物流企业合作，提升跨境物流运输能力。加强商品出口、转关运输、监测预警等分析研判，为全</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外贸企业健康发展提供运输服务保障。及时掌握外向型企业经营情况、国际市场行情变化、存在的主要困难问题，</w:t>
      </w:r>
      <w:r>
        <w:rPr>
          <w:rFonts w:hint="eastAsia" w:ascii="仿宋_GB2312" w:hAnsi="仿宋_GB2312" w:eastAsia="仿宋_GB2312" w:cs="仿宋_GB2312"/>
          <w:b w:val="0"/>
          <w:bCs w:val="0"/>
          <w:color w:val="000000" w:themeColor="text1"/>
          <w:spacing w:val="0"/>
          <w:kern w:val="2"/>
          <w:sz w:val="32"/>
          <w:szCs w:val="32"/>
          <w:highlight w:val="none"/>
          <w:u w:val="none" w:color="auto"/>
          <w:lang w:val="en-US" w:eastAsia="zh-CN" w:bidi="ar-SA"/>
        </w:rPr>
        <w:t>做好外贸企业的业务辅导、政策咨询、市场信息等方面的指导服务，</w:t>
      </w:r>
      <w:r>
        <w:rPr>
          <w:rFonts w:hint="eastAsia" w:ascii="仿宋_GB2312" w:hAnsi="仿宋_GB2312" w:eastAsia="仿宋_GB2312" w:cs="仿宋_GB2312"/>
          <w:color w:val="000000" w:themeColor="text1"/>
          <w:sz w:val="32"/>
          <w:szCs w:val="32"/>
        </w:rPr>
        <w:t>引导企业及时调结</w:t>
      </w:r>
      <w:r>
        <w:rPr>
          <w:rFonts w:hint="eastAsia"/>
          <w:color w:val="000000" w:themeColor="text1"/>
          <w:spacing w:val="0"/>
          <w:w w:val="100"/>
          <w:lang w:eastAsia="zh-CN"/>
        </w:rPr>
        <w:t>构转方式，</w:t>
      </w:r>
      <w:r>
        <w:rPr>
          <w:rFonts w:hint="eastAsia"/>
          <w:color w:val="000000" w:themeColor="text1"/>
          <w:spacing w:val="0"/>
          <w:w w:val="100"/>
          <w:lang w:val="en-US" w:eastAsia="zh-CN"/>
        </w:rPr>
        <w:t>激励企业将代理出口转为自营出口，</w:t>
      </w:r>
      <w:r>
        <w:rPr>
          <w:rFonts w:hint="eastAsia"/>
          <w:color w:val="000000" w:themeColor="text1"/>
          <w:spacing w:val="0"/>
          <w:w w:val="100"/>
          <w:lang w:eastAsia="zh-CN"/>
        </w:rPr>
        <w:t>扶持企业不断做大做强。</w:t>
      </w:r>
    </w:p>
    <w:p>
      <w:pPr>
        <w:keepNext w:val="0"/>
        <w:keepLines w:val="0"/>
        <w:pageBreakBefore w:val="0"/>
        <w:widowControl w:val="0"/>
        <w:kinsoku/>
        <w:wordWrap/>
        <w:overflowPunct/>
        <w:topLinePunct w:val="0"/>
        <w:autoSpaceDE/>
        <w:autoSpaceDN/>
        <w:bidi w:val="0"/>
        <w:adjustRightInd/>
        <w:snapToGrid/>
        <w:spacing w:before="0" w:line="560" w:lineRule="exact"/>
        <w:ind w:firstLine="640" w:firstLineChars="200"/>
        <w:jc w:val="both"/>
        <w:textAlignment w:val="auto"/>
        <w:rPr>
          <w:rFonts w:hint="eastAsia" w:ascii="仿宋_GB2312" w:hAnsi="仿宋_GB2312" w:eastAsia="仿宋_GB2312" w:cs="仿宋_GB2312"/>
          <w:color w:val="000000" w:themeColor="text1"/>
          <w:spacing w:val="0"/>
          <w:w w:val="100"/>
          <w:kern w:val="2"/>
          <w:sz w:val="32"/>
          <w:szCs w:val="32"/>
          <w:lang w:val="zh-CN" w:eastAsia="zh-CN" w:bidi="zh-CN"/>
        </w:rPr>
      </w:pPr>
      <w:r>
        <w:rPr>
          <w:rFonts w:hint="eastAsia" w:ascii="楷体_GB2312" w:eastAsia="楷体_GB2312"/>
          <w:color w:val="000000" w:themeColor="text1"/>
          <w:spacing w:val="0"/>
          <w:w w:val="100"/>
          <w:sz w:val="32"/>
          <w:szCs w:val="32"/>
        </w:rPr>
        <w:t>（八）办理破产</w:t>
      </w:r>
      <w:r>
        <w:rPr>
          <w:rFonts w:hint="eastAsia" w:ascii="楷体_GB2312" w:eastAsia="楷体_GB2312"/>
          <w:color w:val="000000" w:themeColor="text1"/>
          <w:spacing w:val="0"/>
          <w:w w:val="100"/>
          <w:sz w:val="32"/>
          <w:szCs w:val="32"/>
          <w:lang w:eastAsia="zh-CN"/>
        </w:rPr>
        <w:t>。</w:t>
      </w:r>
      <w:r>
        <w:rPr>
          <w:rFonts w:hint="eastAsia"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
        </w:rPr>
        <w:t>完善破产审判团队和机制</w:t>
      </w:r>
      <w:r>
        <w:rPr>
          <w:rFonts w:hint="eastAsia" w:cs="仿宋_GB2312"/>
          <w:b w:val="0"/>
          <w:bCs w:val="0"/>
          <w:i w:val="0"/>
          <w:iCs w:val="0"/>
          <w:caps w:val="0"/>
          <w:color w:val="000000" w:themeColor="text1"/>
          <w:spacing w:val="0"/>
          <w:kern w:val="0"/>
          <w:sz w:val="32"/>
          <w:szCs w:val="32"/>
          <w:shd w:val="clear" w:fill="FFFFFF"/>
          <w:lang w:val="en-US" w:eastAsia="zh-CN" w:bidi="ar"/>
        </w:rPr>
        <w:t>，</w:t>
      </w:r>
      <w:r>
        <w:rPr>
          <w:rFonts w:hint="eastAsia" w:ascii="仿宋_GB2312" w:hAnsi="仿宋_GB2312" w:eastAsia="仿宋_GB2312" w:cs="仿宋_GB2312"/>
          <w:color w:val="000000" w:themeColor="text1"/>
          <w:spacing w:val="-11"/>
          <w:sz w:val="32"/>
          <w:szCs w:val="32"/>
          <w:lang w:val="en-US" w:eastAsia="zh-CN"/>
        </w:rPr>
        <w:t>实现破产审判专业化建设，建立单独绩效考核机制，推动破产案件繁简分流，将部分事实清楚、债权债务关系清晰或者无产可破案件纳入快速审理范围，</w:t>
      </w:r>
      <w:r>
        <w:rPr>
          <w:rFonts w:hint="eastAsia"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
        </w:rPr>
        <w:t>并与县政府建立企业破产处置府院联动机制，推动企业破产处置工作市场化、法治化、常态化，逐步建起与现代化经济体系相适应的便利、高效、有序的企业市场退出机制。</w:t>
      </w:r>
      <w:r>
        <w:rPr>
          <w:rFonts w:hint="eastAsia" w:ascii="仿宋_GB2312" w:hAnsi="仿宋_GB2312" w:eastAsia="仿宋_GB2312" w:cs="仿宋_GB2312"/>
          <w:color w:val="000000" w:themeColor="text1"/>
          <w:spacing w:val="-11"/>
          <w:sz w:val="32"/>
          <w:szCs w:val="32"/>
          <w:lang w:val="en-US" w:eastAsia="zh-CN"/>
        </w:rPr>
        <w:t>强化适用普通程序破产案件审限管理，将适用普通程序破产案件办理期限进一步压缩，将能动司法、主动作为充分体现到推动破产审理工作的各方面，为县域经济质量发展提供强有力的法</w:t>
      </w:r>
      <w:r>
        <w:rPr>
          <w:rFonts w:hint="eastAsia" w:ascii="仿宋_GB2312" w:hAnsi="仿宋_GB2312" w:eastAsia="仿宋_GB2312" w:cs="仿宋_GB2312"/>
          <w:color w:val="000000" w:themeColor="text1"/>
          <w:spacing w:val="0"/>
          <w:w w:val="100"/>
          <w:kern w:val="2"/>
          <w:sz w:val="32"/>
          <w:szCs w:val="32"/>
          <w:lang w:val="en-US" w:eastAsia="zh-CN" w:bidi="zh-CN"/>
        </w:rPr>
        <w:t>治支撑。</w:t>
      </w:r>
    </w:p>
    <w:p>
      <w:pPr>
        <w:pStyle w:val="4"/>
        <w:keepNext w:val="0"/>
        <w:keepLines w:val="0"/>
        <w:pageBreakBefore w:val="0"/>
        <w:widowControl w:val="0"/>
        <w:tabs>
          <w:tab w:val="left" w:pos="3274"/>
        </w:tabs>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color w:val="000000" w:themeColor="text1"/>
          <w:spacing w:val="0"/>
          <w:w w:val="100"/>
          <w:lang w:eastAsia="zh-CN"/>
        </w:rPr>
      </w:pPr>
      <w:r>
        <w:rPr>
          <w:rFonts w:hint="eastAsia" w:ascii="楷体_GB2312" w:hAnsi="楷体_GB2312" w:eastAsia="楷体_GB2312"/>
          <w:color w:val="000000" w:themeColor="text1"/>
          <w:spacing w:val="0"/>
          <w:w w:val="100"/>
        </w:rPr>
        <w:t>（九）获得信贷</w:t>
      </w:r>
      <w:r>
        <w:rPr>
          <w:rFonts w:hint="eastAsia" w:ascii="楷体_GB2312" w:hAnsi="楷体_GB2312" w:eastAsia="楷体_GB2312"/>
          <w:color w:val="000000" w:themeColor="text1"/>
          <w:spacing w:val="0"/>
          <w:w w:val="100"/>
          <w:lang w:eastAsia="zh-CN"/>
        </w:rPr>
        <w:t>。</w:t>
      </w:r>
      <w:r>
        <w:rPr>
          <w:rFonts w:hint="eastAsia"/>
          <w:color w:val="000000" w:themeColor="text1"/>
          <w:spacing w:val="0"/>
          <w:w w:val="100"/>
          <w:lang w:eastAsia="zh-CN"/>
        </w:rPr>
        <w:t>引导银行机构、政府性融资担保公司全面落实小微企业金融服务尽职免责机制，推动建立敢贷愿贷能贷会贷长效机制，力争2023年贷款同比增长9%。</w:t>
      </w:r>
      <w:r>
        <w:rPr>
          <w:rFonts w:hint="eastAsia"/>
          <w:color w:val="000000" w:themeColor="text1"/>
          <w:spacing w:val="0"/>
          <w:w w:val="100"/>
          <w:lang w:val="en-US" w:eastAsia="zh-CN"/>
        </w:rPr>
        <w:t>加大“信易贷”工作的宣传引导力度，积极引导更多中小微企业通过“甘肃信易贷”平台获得融资支持。大力创新信贷产品，扩大贷款投放规模，切实降低贷款利率，有效满足群众企业信贷需求。着力优化服务环境，不断提升普惠金融服务覆盖面，积极下沉网点、扎根基层、延伸服务，打造金融惠民利民的绿色通道。深化政银交流互动，</w:t>
      </w:r>
      <w:r>
        <w:rPr>
          <w:rFonts w:hint="eastAsia"/>
          <w:color w:val="000000" w:themeColor="text1"/>
          <w:spacing w:val="0"/>
          <w:w w:val="100"/>
          <w:lang w:eastAsia="zh-CN"/>
        </w:rPr>
        <w:t>常态化开展政银企对接活动，开展金融服务实体经济百日攻坚行动和“贷动陇原惠企利民”专项行动，提升企业信贷获得率。鼓励银行机构积极探索推行无缝续贷深化试点，实现贷款到期和续贷周转无缝对接，做到“应续尽续”。</w:t>
      </w:r>
    </w:p>
    <w:p>
      <w:pPr>
        <w:pStyle w:val="4"/>
        <w:keepNext w:val="0"/>
        <w:keepLines w:val="0"/>
        <w:pageBreakBefore w:val="0"/>
        <w:widowControl w:val="0"/>
        <w:tabs>
          <w:tab w:val="left" w:pos="1373"/>
          <w:tab w:val="left" w:pos="3907"/>
          <w:tab w:val="left" w:pos="4222"/>
          <w:tab w:val="left" w:pos="6758"/>
        </w:tabs>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color w:val="000000" w:themeColor="text1"/>
          <w:spacing w:val="0"/>
          <w:w w:val="100"/>
          <w:lang w:val="zh-CN" w:eastAsia="zh-CN"/>
        </w:rPr>
      </w:pPr>
      <w:r>
        <w:rPr>
          <w:rFonts w:hint="eastAsia" w:ascii="楷体_GB2312" w:hAnsi="楷体_GB2312" w:eastAsia="楷体_GB2312"/>
          <w:color w:val="000000" w:themeColor="text1"/>
          <w:spacing w:val="0"/>
          <w:w w:val="100"/>
        </w:rPr>
        <w:t>（十）保护中小投资者</w:t>
      </w:r>
      <w:r>
        <w:rPr>
          <w:rFonts w:hint="eastAsia" w:ascii="楷体_GB2312" w:hAnsi="楷体_GB2312" w:eastAsia="楷体_GB2312"/>
          <w:color w:val="000000" w:themeColor="text1"/>
          <w:spacing w:val="0"/>
          <w:w w:val="100"/>
          <w:lang w:eastAsia="zh-CN"/>
        </w:rPr>
        <w:t>。</w:t>
      </w:r>
      <w:r>
        <w:rPr>
          <w:color w:val="000000" w:themeColor="text1"/>
          <w:spacing w:val="0"/>
          <w:w w:val="100"/>
        </w:rPr>
        <w:t>开展全</w:t>
      </w:r>
      <w:r>
        <w:rPr>
          <w:rFonts w:hint="eastAsia"/>
          <w:color w:val="000000" w:themeColor="text1"/>
          <w:spacing w:val="0"/>
          <w:w w:val="100"/>
          <w:lang w:eastAsia="zh-CN"/>
        </w:rPr>
        <w:t>县</w:t>
      </w:r>
      <w:r>
        <w:rPr>
          <w:color w:val="000000" w:themeColor="text1"/>
          <w:spacing w:val="0"/>
          <w:w w:val="100"/>
        </w:rPr>
        <w:t>政法系统优化法治化营商环境专项检查督导，推动优化法治化营商环境政策落实。持续推进企业涉罪案件“挂案”清理，坚决防止以刑事手段非法插手经济纠纷</w:t>
      </w:r>
      <w:r>
        <w:rPr>
          <w:rFonts w:hint="eastAsia"/>
          <w:color w:val="000000" w:themeColor="text1"/>
          <w:spacing w:val="0"/>
          <w:w w:val="100"/>
          <w:lang w:eastAsia="zh-CN"/>
        </w:rPr>
        <w:t>。</w:t>
      </w:r>
      <w:r>
        <w:rPr>
          <w:color w:val="000000" w:themeColor="text1"/>
          <w:spacing w:val="0"/>
          <w:w w:val="100"/>
        </w:rPr>
        <w:t>畅通涉营商环境案件受理和办理渠道，依托12309检察服务平台实现涉营商案件快速流转、优先办理</w:t>
      </w:r>
      <w:r>
        <w:rPr>
          <w:rFonts w:hint="eastAsia"/>
          <w:color w:val="000000" w:themeColor="text1"/>
          <w:spacing w:val="0"/>
          <w:w w:val="100"/>
          <w:lang w:eastAsia="zh-CN"/>
        </w:rPr>
        <w:t>。</w:t>
      </w:r>
      <w:r>
        <w:rPr>
          <w:color w:val="000000" w:themeColor="text1"/>
          <w:spacing w:val="0"/>
          <w:w w:val="100"/>
        </w:rPr>
        <w:t>制定纪检监察机关服务保障企业发展具体措施，建立损害营商环境违纪违法问题主动发现和快查快办机制。</w:t>
      </w:r>
      <w:r>
        <w:rPr>
          <w:rFonts w:hint="eastAsia" w:ascii="仿宋_GB2312" w:hAnsi="仿宋_GB2312" w:eastAsia="仿宋_GB2312" w:cs="仿宋_GB2312"/>
          <w:color w:val="000000" w:themeColor="text1"/>
          <w:spacing w:val="-11"/>
          <w:sz w:val="32"/>
          <w:szCs w:val="32"/>
          <w:lang w:val="en-US" w:eastAsia="zh-CN"/>
        </w:rPr>
        <w:t>充分发挥移动微法院平台作用，为中小投资者提供更加优质诉讼服务。对案涉中小企业案件文明善意执行。规范在线调解流程，充分运用网络提供远程调解服务，扩大优质低成本解纷服务供给，开创在线多元解纷新</w:t>
      </w:r>
      <w:r>
        <w:rPr>
          <w:rFonts w:hint="eastAsia"/>
          <w:color w:val="000000" w:themeColor="text1"/>
          <w:spacing w:val="0"/>
          <w:w w:val="100"/>
          <w:lang w:val="en-US" w:eastAsia="zh-CN"/>
        </w:rPr>
        <w:t>格局。</w:t>
      </w:r>
    </w:p>
    <w:p>
      <w:pPr>
        <w:pStyle w:val="4"/>
        <w:keepNext w:val="0"/>
        <w:keepLines w:val="0"/>
        <w:pageBreakBefore w:val="0"/>
        <w:widowControl w:val="0"/>
        <w:tabs>
          <w:tab w:val="left" w:pos="737"/>
          <w:tab w:val="left" w:pos="3588"/>
        </w:tabs>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color w:val="000000" w:themeColor="text1"/>
          <w:spacing w:val="-6"/>
          <w:w w:val="100"/>
          <w:sz w:val="32"/>
          <w:lang w:val="en-US" w:eastAsia="zh-CN"/>
        </w:rPr>
      </w:pPr>
      <w:r>
        <w:rPr>
          <w:rFonts w:hint="eastAsia" w:ascii="楷体_GB2312" w:hAnsi="楷体_GB2312" w:eastAsia="楷体_GB2312"/>
          <w:color w:val="000000" w:themeColor="text1"/>
          <w:spacing w:val="0"/>
          <w:w w:val="100"/>
        </w:rPr>
        <w:t>（十一）执行合同</w:t>
      </w:r>
      <w:r>
        <w:rPr>
          <w:rFonts w:hint="eastAsia" w:ascii="楷体_GB2312" w:hAnsi="楷体_GB2312" w:eastAsia="楷体_GB2312"/>
          <w:color w:val="000000" w:themeColor="text1"/>
          <w:spacing w:val="0"/>
          <w:w w:val="100"/>
          <w:lang w:eastAsia="zh-CN"/>
        </w:rPr>
        <w:t>。</w:t>
      </w:r>
      <w:r>
        <w:rPr>
          <w:rFonts w:hint="eastAsia"/>
          <w:color w:val="000000" w:themeColor="text1"/>
          <w:spacing w:val="0"/>
          <w:w w:val="100"/>
          <w:lang w:val="en-US" w:eastAsia="zh-CN"/>
        </w:rPr>
        <w:t>完善诉调解纷机制，实现“诉”与“调”的有效衔接；加强诉源治理工作，与县工商联、县总工会等部门、行业建立诉调对接机制和调解室、聘请特邀调解员，与各乡镇司法所、社区、乡村调解组织建立巡回审理便民服务联系制度，拓展诉调对接、非诉联动的诉源治理工作格局。深入推进繁简分流，充分运用信息化手段加强民商事案件繁简甄别，推进案件繁简分流、快慢分道，进一步提升审判质效，尽最大可能满足企业诉求。健全财产保全机制和审限管理规则，切实提高司法质效。持续深入开展“万名干警联万企”行动，结合工作实际积极主动作为，帮助企业查找生产、管理、经营过程中遇到的法律问题，回应企业的司法新需求，不断提升企业的司法获得感、满意度，努力打</w:t>
      </w:r>
      <w:r>
        <w:rPr>
          <w:rFonts w:hint="eastAsia"/>
          <w:color w:val="000000" w:themeColor="text1"/>
          <w:spacing w:val="-6"/>
          <w:w w:val="100"/>
          <w:sz w:val="32"/>
          <w:lang w:val="en-US" w:eastAsia="zh-CN"/>
        </w:rPr>
        <w:t>造稳定公平透明、可预期的法治化营商环境。</w:t>
      </w:r>
    </w:p>
    <w:p>
      <w:pPr>
        <w:pStyle w:val="4"/>
        <w:keepNext w:val="0"/>
        <w:keepLines w:val="0"/>
        <w:pageBreakBefore w:val="0"/>
        <w:widowControl w:val="0"/>
        <w:tabs>
          <w:tab w:val="left" w:pos="737"/>
          <w:tab w:val="left" w:pos="3588"/>
        </w:tabs>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color w:val="000000" w:themeColor="text1"/>
          <w:spacing w:val="0"/>
          <w:w w:val="100"/>
          <w:lang w:eastAsia="zh-CN"/>
        </w:rPr>
      </w:pPr>
      <w:r>
        <w:rPr>
          <w:rFonts w:hint="eastAsia" w:ascii="楷体_GB2312" w:hAnsi="楷体_GB2312" w:eastAsia="楷体_GB2312"/>
          <w:color w:val="000000" w:themeColor="text1"/>
          <w:spacing w:val="0"/>
          <w:w w:val="100"/>
        </w:rPr>
        <w:t>（十二）劳动力市场监管</w:t>
      </w:r>
      <w:r>
        <w:rPr>
          <w:rFonts w:hint="eastAsia" w:ascii="楷体_GB2312" w:hAnsi="楷体_GB2312" w:eastAsia="楷体_GB2312"/>
          <w:color w:val="000000" w:themeColor="text1"/>
          <w:spacing w:val="0"/>
          <w:w w:val="100"/>
          <w:lang w:eastAsia="zh-CN"/>
        </w:rPr>
        <w:t>。</w:t>
      </w:r>
      <w:r>
        <w:rPr>
          <w:rFonts w:hint="eastAsia"/>
          <w:color w:val="000000" w:themeColor="text1"/>
          <w:spacing w:val="0"/>
          <w:w w:val="100"/>
          <w:lang w:val="en-US" w:eastAsia="zh-CN"/>
        </w:rPr>
        <w:t>充分发挥劳动争议多元化调解机制作用，探索实施“流动仲裁庭”服务模式，深入一线及时化解调处基层群众或身处偏远区域的当事群众的需求，做到接案一起、受理一起、结案一起，有效处置各类信访矛盾隐患。建立健全“监察+仲裁+司法”劳资纠纷预警服务联动机制，年内基层调解组织达到规范化建设标准，企业劳动争议调解组织组建率92%以上，全年调解成功率达到70%以上，仲裁结案率达到99%以上。积极探索互联网+人力资源市场服务，推动线下服务向线上转化，实现网上招聘和线上服务。常态化开展“就业援助月”、“春风行动”、劳动力技能比赛、“人社局长直播带岗”网络招聘等系列特色服务活动，积极推进劳动力就业服务网络建设，搭建劳动力灵活就业服务平台。通过筹建“零工市场”和“零工驿站”，为企业用工和劳动者求职搭建线上线下信息互通通道。加强灵活就业和新就业形态劳动者权益保障，严格落实劳动用工备案制度，建立适应新业态劳动用工协商机制，依法推进落实集体合同和集体协商制度，劳动合同、集体合同签订率分别达到95%、85%以上。突出抓好欠薪问题源头治理，严格落实保障农民工工资支付各项制度，组织开展“制度全覆盖”夏季专项行动、根治欠薪冬季专项行动、联合惩戒专项行动，全面排查在建工程项目欠薪风险隐患，加大案件处置力度，做到及时动态清零。积极协助县司法局开辟法律援助“绿色通道”，全面依托“互联网+公共法律服务”平台，通过代理律师指导、技能培训法律辅导、“流动仲裁庭”等法律服务模式，努力为基层群众提供精准化、精细化的公共法律服务，重点做好农民工、工伤职工等调解仲裁法律援助。</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color w:val="000000" w:themeColor="text1"/>
          <w:spacing w:val="0"/>
          <w:w w:val="100"/>
          <w:lang w:eastAsia="zh-CN"/>
        </w:rPr>
      </w:pPr>
      <w:r>
        <w:rPr>
          <w:rFonts w:hint="eastAsia" w:ascii="楷体_GB2312" w:hAnsi="楷体_GB2312" w:eastAsia="楷体_GB2312"/>
          <w:color w:val="000000" w:themeColor="text1"/>
          <w:spacing w:val="0"/>
          <w:w w:val="100"/>
        </w:rPr>
        <w:t>（十三）政府采购</w:t>
      </w:r>
      <w:r>
        <w:rPr>
          <w:rFonts w:hint="eastAsia" w:ascii="楷体_GB2312" w:hAnsi="楷体_GB2312" w:eastAsia="楷体_GB2312"/>
          <w:color w:val="000000" w:themeColor="text1"/>
          <w:spacing w:val="0"/>
          <w:w w:val="100"/>
          <w:lang w:eastAsia="zh-CN"/>
        </w:rPr>
        <w:t>。</w:t>
      </w:r>
      <w:r>
        <w:rPr>
          <w:rFonts w:hint="eastAsia"/>
          <w:color w:val="000000" w:themeColor="text1"/>
          <w:spacing w:val="0"/>
          <w:w w:val="100"/>
          <w:lang w:val="en-US" w:eastAsia="zh-CN"/>
        </w:rPr>
        <w:t>深入推进政府采购全流程电子化，优化完善政府采购项目电子交易平台功能；积极推行“互联网+政府采购”，认真落实政府采购预算编制、意向公开、计划备案、项目执行、合同公告、履约验收各个环节工作和支持中小企业发展的各项政策措施。政府采购合同签订期限由法定30日内压缩至10日内，采购合同签订后2个工作日内在甘肃政府采购网完成公告，合同备案由法定7个工作日内压缩至2个工作日内；对供应商质疑的答复时间由法定7个工作日内压缩至3个工作日内；处理供应商投诉时间由法定30个工作日内压缩至15个工作日内。持续推进单一来源采购、询价采购、竞争性谈判、竞争性磋商等政府采购非招标方式全流程电子化交易，打通“不见面”交易“最后一公里”。督促采购人严格落实“政府采购项目对中小微企业预留采购份额提高到40%以上、价格评审优惠幅度提高到10-20%”的政策，取消政府采购项目投标保证金，降低或取消履约保证金收取比例。有序推进政府采购网上商城建设运行，实现集中采购目录内货物、服务全程电子化交易。加强政府采购评审专家管理，持续开展场内交易项目“一项目一评价”，对评标专家实行负面清单管理；采用“菜单式”培训模式，分层次有针对性的对专家进行培训，推动形成评标专家常态化管理机制；积极开展全省政府采购评标专家征集入库工作，鼓励符合条件的专家及时进入专家库，充实专家库力量。全力支持中小微企业参与政府采购活动，加强与县政府金融办沟通，着力推进“政采贷”业务，解决中小企业融资难的问题。</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color w:val="000000" w:themeColor="text1"/>
          <w:spacing w:val="0"/>
          <w:w w:val="100"/>
          <w:lang w:eastAsia="zh-CN"/>
        </w:rPr>
      </w:pPr>
      <w:r>
        <w:rPr>
          <w:rFonts w:hint="eastAsia" w:ascii="楷体_GB2312" w:eastAsia="楷体_GB2312"/>
          <w:color w:val="000000" w:themeColor="text1"/>
          <w:spacing w:val="0"/>
          <w:w w:val="100"/>
        </w:rPr>
        <w:t>（十四）招标投标</w:t>
      </w:r>
      <w:r>
        <w:rPr>
          <w:rFonts w:hint="eastAsia" w:ascii="楷体_GB2312" w:eastAsia="楷体_GB2312"/>
          <w:color w:val="000000" w:themeColor="text1"/>
          <w:spacing w:val="0"/>
          <w:w w:val="100"/>
          <w:lang w:eastAsia="zh-CN"/>
        </w:rPr>
        <w:t>。</w:t>
      </w:r>
      <w:r>
        <w:rPr>
          <w:rFonts w:hint="eastAsia"/>
          <w:color w:val="000000" w:themeColor="text1"/>
          <w:spacing w:val="0"/>
          <w:w w:val="100"/>
        </w:rPr>
        <w:t>完善体制机制，加快电子化招标投标配套制度建设，按照全市工程招标文件和政府采购各类采购方式示范文本，出台各行业领域招标采购文件负面清单。优化升级县级平台开评标区设施功能，探索实行卡位式评标、插花型评审。建立与县公管办常态沟通衔接工作机制，及时协调落实评标专家库管理、更新，交易制度规则修订完善等事项。按照工程建设和政府采购远程异地评标项目范围和标准，全面推行远程异地评标。落实投标保证金账户“零余额”管理和“一日退”等为企减负措施，鼓励减免政府投资项目投</w:t>
      </w:r>
      <w:r>
        <w:rPr>
          <w:rFonts w:hint="eastAsia"/>
          <w:color w:val="000000" w:themeColor="text1"/>
          <w:spacing w:val="0"/>
          <w:w w:val="100"/>
          <w:lang w:eastAsia="zh-CN"/>
        </w:rPr>
        <w:t>标保证金和实行差异化缴纳投标保证金政策。</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color w:val="000000" w:themeColor="text1"/>
          <w:spacing w:val="0"/>
          <w:w w:val="100"/>
          <w:lang w:val="en-US" w:eastAsia="zh-CN"/>
        </w:rPr>
      </w:pPr>
      <w:r>
        <w:rPr>
          <w:rFonts w:hint="eastAsia" w:ascii="楷体_GB2312" w:hAnsi="楷体_GB2312" w:eastAsia="楷体_GB2312"/>
          <w:color w:val="000000" w:themeColor="text1"/>
          <w:spacing w:val="0"/>
          <w:w w:val="100"/>
        </w:rPr>
        <w:t>（十五）政务服务</w:t>
      </w:r>
      <w:r>
        <w:rPr>
          <w:rFonts w:hint="eastAsia" w:ascii="楷体_GB2312" w:hAnsi="楷体_GB2312" w:eastAsia="楷体_GB2312"/>
          <w:color w:val="000000" w:themeColor="text1"/>
          <w:spacing w:val="0"/>
          <w:w w:val="100"/>
          <w:lang w:eastAsia="zh-CN"/>
        </w:rPr>
        <w:t>。</w:t>
      </w:r>
      <w:r>
        <w:rPr>
          <w:rFonts w:ascii="仿宋_GB2312" w:hAnsi="宋体" w:eastAsia="仿宋_GB2312" w:cs="仿宋_GB2312"/>
          <w:color w:val="000000" w:themeColor="text1"/>
          <w:kern w:val="0"/>
          <w:sz w:val="31"/>
          <w:szCs w:val="31"/>
          <w:lang w:val="en-US" w:eastAsia="zh-CN" w:bidi="ar"/>
        </w:rPr>
        <w:t>深入推进政</w:t>
      </w:r>
      <w:r>
        <w:rPr>
          <w:rFonts w:hint="eastAsia" w:ascii="仿宋_GB2312" w:hAnsi="宋体" w:eastAsia="仿宋_GB2312" w:cs="仿宋_GB2312"/>
          <w:color w:val="000000" w:themeColor="text1"/>
          <w:kern w:val="0"/>
          <w:sz w:val="31"/>
          <w:szCs w:val="31"/>
          <w:lang w:val="en-US" w:eastAsia="zh-CN" w:bidi="ar"/>
        </w:rPr>
        <w:t>务服务标准化规范化便利化，不断优化政务大厅综合窗口服务功能，严格执行一次性告知制、限时办结制等制度，积极推行告知承诺制，大力推行“全程帮办+前置辅导”模式，全面提升“一窗办”水平。不断提升网上政务服务能力，除涉密、管控事项以外，网上可办率达到100%，全程网办率达到99%以上,跑动次数0.02天以内，办理时限压缩92%以上，即办件85%以上，并积极引导企业和群众政务服务“一网办”“掌上办”。</w:t>
      </w:r>
      <w:r>
        <w:rPr>
          <w:rFonts w:ascii="仿宋_GB2312" w:hAnsi="宋体" w:eastAsia="仿宋_GB2312" w:cs="仿宋_GB2312"/>
          <w:color w:val="000000" w:themeColor="text1"/>
          <w:kern w:val="0"/>
          <w:sz w:val="31"/>
          <w:szCs w:val="31"/>
          <w:lang w:val="en-US" w:eastAsia="zh-CN" w:bidi="ar"/>
        </w:rPr>
        <w:t>进一步强化数字政府建设，</w:t>
      </w:r>
      <w:r>
        <w:rPr>
          <w:rFonts w:hint="eastAsia" w:ascii="仿宋_GB2312" w:hAnsi="宋体" w:eastAsia="仿宋_GB2312" w:cs="仿宋_GB2312"/>
          <w:color w:val="000000" w:themeColor="text1"/>
          <w:kern w:val="0"/>
          <w:sz w:val="31"/>
          <w:szCs w:val="31"/>
          <w:lang w:val="en-US" w:eastAsia="zh-CN" w:bidi="ar"/>
        </w:rPr>
        <w:t>持续推进政务数据汇聚共享和电子证照归集应用，大力推广应用甘肃政务服务网和“甘快办”APP，扎实推进“一件事一次办”，推动更多事项实现“集成办”“异地办”。全面推行“接诉即办”改革，认真落实“好差评”制度，强化政务服务网和“陇商通”服务群众和企业投诉建议办理工作，确保全年差评整改率、投诉建议办结率和按</w:t>
      </w:r>
      <w:r>
        <w:rPr>
          <w:rFonts w:hint="eastAsia"/>
          <w:color w:val="000000" w:themeColor="text1"/>
          <w:spacing w:val="0"/>
          <w:w w:val="100"/>
          <w:lang w:val="en-US" w:eastAsia="zh-CN"/>
        </w:rPr>
        <w:t>期办结率均达到100%。</w:t>
      </w:r>
    </w:p>
    <w:p>
      <w:pPr>
        <w:pStyle w:val="4"/>
        <w:keepNext w:val="0"/>
        <w:keepLines w:val="0"/>
        <w:pageBreakBefore w:val="0"/>
        <w:widowControl w:val="0"/>
        <w:tabs>
          <w:tab w:val="left" w:pos="5491"/>
        </w:tabs>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color w:val="000000" w:themeColor="text1"/>
          <w:spacing w:val="0"/>
          <w:w w:val="100"/>
          <w:lang w:eastAsia="zh-CN"/>
        </w:rPr>
      </w:pPr>
      <w:r>
        <w:rPr>
          <w:rFonts w:hint="eastAsia" w:ascii="楷体_GB2312" w:eastAsia="楷体_GB2312"/>
          <w:color w:val="000000" w:themeColor="text1"/>
          <w:spacing w:val="0"/>
          <w:w w:val="100"/>
        </w:rPr>
        <w:t>（十六）知识产权创造、保护和运用</w:t>
      </w:r>
      <w:r>
        <w:rPr>
          <w:rFonts w:hint="eastAsia" w:ascii="楷体_GB2312" w:eastAsia="楷体_GB2312"/>
          <w:color w:val="000000" w:themeColor="text1"/>
          <w:spacing w:val="0"/>
          <w:w w:val="100"/>
          <w:lang w:eastAsia="zh-CN"/>
        </w:rPr>
        <w:t>。</w:t>
      </w:r>
      <w:r>
        <w:rPr>
          <w:rFonts w:hint="eastAsia" w:ascii="仿宋_GB2312" w:hAnsi="仿宋_GB2312" w:eastAsia="仿宋_GB2312" w:cs="仿宋_GB2312"/>
          <w:color w:val="000000" w:themeColor="text1"/>
          <w:sz w:val="32"/>
          <w:szCs w:val="32"/>
          <w:lang w:val="en-US" w:eastAsia="zh-CN"/>
        </w:rPr>
        <w:t>推动知识产权公共服务体系建设，为中小微企业提供知识产权维权援助、法律援助、代理援助等基础性服务。研究出台知识产权创造、保护和运用提质升级措施方案。强化知识产权职能部门行政与司法保护的协作联动，实施专利提质增量和商标品牌创建行动，制定新产业新业态知识产权保护制度，构建知识产权大保护格局。积极与市市场监管部门沟通，协调提供知识产权贯标认证、质押融资、资产评估、交易转化、托管保险、风险评议等服务，优化便捷服务提供通道。健全知识产权纠纷多元化解机制，</w:t>
      </w:r>
      <w:r>
        <w:rPr>
          <w:rFonts w:hint="eastAsia" w:cs="仿宋_GB2312"/>
          <w:color w:val="000000" w:themeColor="text1"/>
          <w:sz w:val="32"/>
          <w:szCs w:val="32"/>
          <w:lang w:val="en-US" w:eastAsia="zh-CN"/>
        </w:rPr>
        <w:t>完善</w:t>
      </w:r>
      <w:r>
        <w:rPr>
          <w:rFonts w:hint="eastAsia" w:ascii="仿宋_GB2312" w:hAnsi="仿宋_GB2312" w:eastAsia="仿宋_GB2312" w:cs="仿宋_GB2312"/>
          <w:color w:val="000000" w:themeColor="text1"/>
          <w:sz w:val="32"/>
          <w:szCs w:val="32"/>
          <w:lang w:val="en-US" w:eastAsia="zh-CN"/>
        </w:rPr>
        <w:t>知识产权纠纷人民调解委员会工作机制，提升专</w:t>
      </w:r>
      <w:r>
        <w:rPr>
          <w:rFonts w:hint="eastAsia"/>
          <w:color w:val="000000" w:themeColor="text1"/>
          <w:spacing w:val="0"/>
          <w:w w:val="100"/>
          <w:lang w:val="en-US" w:eastAsia="zh-CN"/>
        </w:rPr>
        <w:t>业性调解组织的纠纷调解水平和调解员业务能力。</w:t>
      </w:r>
    </w:p>
    <w:p>
      <w:pPr>
        <w:pStyle w:val="4"/>
        <w:keepNext w:val="0"/>
        <w:keepLines w:val="0"/>
        <w:pageBreakBefore w:val="0"/>
        <w:widowControl w:val="0"/>
        <w:tabs>
          <w:tab w:val="left" w:pos="3588"/>
        </w:tabs>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color w:val="000000" w:themeColor="text1"/>
          <w:spacing w:val="0"/>
          <w:w w:val="100"/>
          <w:lang w:eastAsia="zh-CN"/>
        </w:rPr>
      </w:pPr>
      <w:r>
        <w:rPr>
          <w:rFonts w:hint="eastAsia" w:ascii="楷体_GB2312" w:hAnsi="楷体_GB2312" w:eastAsia="楷体_GB2312"/>
          <w:color w:val="000000" w:themeColor="text1"/>
          <w:spacing w:val="0"/>
          <w:w w:val="100"/>
        </w:rPr>
        <w:t>（十七）市场监管</w:t>
      </w:r>
      <w:r>
        <w:rPr>
          <w:rFonts w:hint="eastAsia" w:ascii="楷体_GB2312" w:hAnsi="楷体_GB2312" w:eastAsia="楷体_GB2312"/>
          <w:color w:val="000000" w:themeColor="text1"/>
          <w:spacing w:val="0"/>
          <w:w w:val="100"/>
          <w:lang w:eastAsia="zh-CN"/>
        </w:rPr>
        <w:t>。</w:t>
      </w:r>
      <w:r>
        <w:rPr>
          <w:rFonts w:hint="eastAsia" w:ascii="仿宋_GB2312" w:hAnsi="仿宋_GB2312" w:eastAsia="仿宋_GB2312" w:cs="仿宋_GB2312"/>
          <w:color w:val="000000" w:themeColor="text1"/>
          <w:sz w:val="32"/>
          <w:szCs w:val="32"/>
          <w:lang w:val="en-US" w:eastAsia="zh-CN"/>
        </w:rPr>
        <w:t>扩大部门联合“双随机、一公开”监管、信用监管、“互联网</w:t>
      </w:r>
      <w:r>
        <w:rPr>
          <w:rFonts w:hint="default" w:ascii="仿宋_GB2312" w:hAnsi="仿宋_GB2312" w:eastAsia="仿宋_GB2312" w:cs="仿宋_GB2312"/>
          <w:color w:val="000000" w:themeColor="text1"/>
          <w:sz w:val="32"/>
          <w:szCs w:val="32"/>
          <w:lang w:val="en-US" w:eastAsia="zh-CN"/>
        </w:rPr>
        <w:t>+</w:t>
      </w:r>
      <w:r>
        <w:rPr>
          <w:rFonts w:hint="eastAsia" w:ascii="仿宋_GB2312" w:hAnsi="仿宋_GB2312" w:eastAsia="仿宋_GB2312" w:cs="仿宋_GB2312"/>
          <w:color w:val="000000" w:themeColor="text1"/>
          <w:sz w:val="32"/>
          <w:szCs w:val="32"/>
          <w:lang w:val="en-US" w:eastAsia="zh-CN"/>
        </w:rPr>
        <w:t>监管”覆盖范围，持续完善“两库一清单”，推动监管信息共享互认，避免多头执法、重复检查，减少对企业的检查评估频次，实现“进一次门、查多项事”</w:t>
      </w:r>
      <w:r>
        <w:rPr>
          <w:rFonts w:hint="eastAsia" w:cs="仿宋_GB2312"/>
          <w:color w:val="000000" w:themeColor="text1"/>
          <w:sz w:val="32"/>
          <w:szCs w:val="32"/>
          <w:lang w:val="en-US" w:eastAsia="zh-CN"/>
        </w:rPr>
        <w:t>，确保全县双随机抽查按时限全面完成，检查率、完成率、公示率均达100%</w:t>
      </w:r>
      <w:r>
        <w:rPr>
          <w:rFonts w:hint="eastAsia" w:ascii="仿宋_GB2312" w:hAnsi="仿宋_GB2312" w:eastAsia="仿宋_GB2312" w:cs="仿宋_GB2312"/>
          <w:color w:val="000000" w:themeColor="text1"/>
          <w:sz w:val="32"/>
          <w:szCs w:val="32"/>
          <w:lang w:val="en-US" w:eastAsia="zh-CN"/>
        </w:rPr>
        <w:t>。在安全生产、食品安全、交通运输、生态环境等领域运用现代信息技术推进实施非现场监管，减少对市场主体正常生产经营活动的不必要干扰。强化重点领域监管，推行“柔性执法”，落实“两轻一免”清单，实行“首违不罚”，对照104种违法行为从轻减轻处罚情形和67种免予处罚违法行为，实行包容审慎监管。高度重视互联网+监管系统数据共享，在甘肃省“互联网+监管”系统监管事项认领率和检查实施清单完成率达到100%，监管事项覆盖率提升至90%以上，风险预警线索处置率达到100%。持续实施信用分级分类监管，加快劳务派遣、生态环境等重点领域信用分类评价管理。加强企业信用风险</w:t>
      </w:r>
      <w:r>
        <w:rPr>
          <w:rFonts w:hint="eastAsia"/>
          <w:color w:val="000000" w:themeColor="text1"/>
          <w:spacing w:val="0"/>
          <w:w w:val="100"/>
          <w:lang w:val="en-US" w:eastAsia="zh-CN"/>
        </w:rPr>
        <w:t>分类结果综合运用，完善推进企业信用风险监测预警。</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color w:val="000000" w:themeColor="text1"/>
          <w:spacing w:val="0"/>
          <w:w w:val="100"/>
          <w:lang w:eastAsia="zh-CN"/>
        </w:rPr>
      </w:pPr>
      <w:r>
        <w:rPr>
          <w:rFonts w:hint="eastAsia" w:ascii="楷体_GB2312" w:hAnsi="楷体_GB2312" w:eastAsia="楷体_GB2312"/>
          <w:color w:val="000000" w:themeColor="text1"/>
          <w:spacing w:val="0"/>
          <w:w w:val="100"/>
        </w:rPr>
        <w:t>（十八）包容普惠创新</w:t>
      </w:r>
      <w:r>
        <w:rPr>
          <w:rFonts w:hint="eastAsia" w:ascii="楷体_GB2312" w:hAnsi="楷体_GB2312" w:eastAsia="楷体_GB2312"/>
          <w:color w:val="000000" w:themeColor="text1"/>
          <w:spacing w:val="0"/>
          <w:w w:val="100"/>
          <w:lang w:eastAsia="zh-CN"/>
        </w:rPr>
        <w:t>。</w:t>
      </w:r>
      <w:r>
        <w:rPr>
          <w:rFonts w:hint="eastAsia" w:ascii="仿宋_GB2312" w:hAnsi="仿宋_GB2312" w:eastAsia="仿宋_GB2312" w:cs="仿宋_GB2312"/>
          <w:color w:val="000000" w:themeColor="text1"/>
          <w:sz w:val="32"/>
          <w:szCs w:val="32"/>
        </w:rPr>
        <w:t>大力实施创新驱动发展战略，扎实开展强科技行动。加快科技创新平台建设，围绕现代产业体系，凝练实施一批省、市级科技计划项目；</w:t>
      </w:r>
      <w:r>
        <w:rPr>
          <w:rFonts w:hint="eastAsia" w:ascii="仿宋_GB2312" w:hAnsi="仿宋_GB2312" w:eastAsia="仿宋_GB2312" w:cs="仿宋_GB2312"/>
          <w:color w:val="000000" w:themeColor="text1"/>
          <w:kern w:val="2"/>
          <w:sz w:val="32"/>
          <w:szCs w:val="32"/>
          <w:lang w:val="en-US" w:eastAsia="zh-CN" w:bidi="ar-SA"/>
        </w:rPr>
        <w:t>力争到2023年底全社会研发（R&amp;D）经费占GDP的比重较上年度有大幅提升，完成技术合同成交额2亿元，高新技术企业达到5家。完善交通网络，加大国省干线及农村公路项目建设力度，积极构建立体化、开放式的综合交通运输体系，全面提升综合交通供给能力和服务品质。实施“四抓一打通”工程，增强水利供给能力。加大医疗、文化、教育、养老、城乡公共服务设施等领域补短板力度，提升城市公</w:t>
      </w:r>
      <w:r>
        <w:rPr>
          <w:rFonts w:hint="eastAsia" w:ascii="仿宋_GB2312" w:hAnsi="仿宋_GB2312" w:eastAsia="仿宋_GB2312" w:cs="仿宋_GB2312"/>
          <w:color w:val="000000" w:themeColor="text1"/>
          <w:sz w:val="32"/>
          <w:szCs w:val="32"/>
        </w:rPr>
        <w:t>共服务能力。落实“三线一单”生态环境分区管控要求。优化外商投资市场准入、人才服务、科技创</w:t>
      </w:r>
      <w:r>
        <w:rPr>
          <w:rFonts w:hint="eastAsia"/>
          <w:color w:val="000000" w:themeColor="text1"/>
          <w:spacing w:val="0"/>
          <w:w w:val="100"/>
          <w:lang w:eastAsia="zh-CN"/>
        </w:rPr>
        <w:t>新等领域服务，提高人才保障水平。</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firstLine="640" w:firstLineChars="200"/>
        <w:jc w:val="both"/>
        <w:textAlignment w:val="auto"/>
        <w:rPr>
          <w:rFonts w:hint="eastAsia" w:ascii="仿宋_GB2312" w:hAnsi="仿宋_GB2312" w:eastAsia="仿宋_GB2312" w:cs="仿宋_GB2312"/>
          <w:color w:val="000000" w:themeColor="text1"/>
          <w:spacing w:val="0"/>
          <w:w w:val="100"/>
          <w:kern w:val="2"/>
          <w:sz w:val="32"/>
          <w:szCs w:val="32"/>
          <w:lang w:val="zh-CN" w:eastAsia="zh-CN" w:bidi="zh-CN"/>
        </w:rPr>
      </w:pPr>
      <w:r>
        <w:rPr>
          <w:rFonts w:hint="eastAsia" w:ascii="楷体_GB2312" w:hAnsi="楷体_GB2312" w:eastAsia="楷体_GB2312"/>
          <w:color w:val="000000" w:themeColor="text1"/>
          <w:spacing w:val="0"/>
          <w:w w:val="100"/>
          <w:sz w:val="32"/>
          <w:szCs w:val="32"/>
        </w:rPr>
        <w:t>（十九）信用体系建设。</w:t>
      </w:r>
      <w:r>
        <w:rPr>
          <w:rFonts w:hint="eastAsia" w:ascii="仿宋_GB2312" w:hAnsi="仿宋_GB2312" w:eastAsia="仿宋_GB2312" w:cs="仿宋_GB2312"/>
          <w:color w:val="000000" w:themeColor="text1"/>
          <w:sz w:val="32"/>
          <w:szCs w:val="32"/>
        </w:rPr>
        <w:t>建立健全公务员诚信档案，依法依规将公务员履职尽责、作风表现、遵纪守法、社会活动等方面情况纳入公务员诚信档案，使公务员个人诚信情况有据可查</w:t>
      </w:r>
      <w:r>
        <w:rPr>
          <w:rFonts w:hint="eastAsia"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将诚信表现作为公务员招录、调任、选任、职级晋升、评优评先等日常管理的重要依据，充分发挥诚信指标导向作用。严格落实统一社会信用代码制度，推动重错码清零；提升行政许可、行政处罚等“双公示”信息的合规性、及时性、完整性。推动行政强制、行政确认、行政征收、行政给付、行政裁决、行政补偿、行政奖励和行政监督检查等行政行为信息7个工作日内上网公开</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推进“双公示”信息上报率合规率和及时率达到100%。探索开展县级公共信用综合评价，及时将国家、省、市推送的公共信用综合评价结果推送乡镇和县直有关行业部门使用。在食品药品、工程建设、公共资源交易、安全生产、消防安全、生态环保、医疗卫生、文化旅游、价格、统计、财政性资金使用等重点领域推进信用分级分类监管。行业主管（监管）部门统筹使用公共信用综合评价结果，结合行业监管信息，完善行业信用</w:t>
      </w:r>
      <w:r>
        <w:rPr>
          <w:rFonts w:hint="eastAsia" w:ascii="仿宋_GB2312" w:hAnsi="仿宋_GB2312" w:eastAsia="仿宋_GB2312" w:cs="仿宋_GB2312"/>
          <w:color w:val="000000" w:themeColor="text1"/>
          <w:spacing w:val="0"/>
          <w:w w:val="100"/>
          <w:kern w:val="2"/>
          <w:sz w:val="32"/>
          <w:szCs w:val="32"/>
          <w:lang w:val="zh-CN" w:eastAsia="zh-CN" w:bidi="zh-CN"/>
        </w:rPr>
        <w:t>分级分类监管措施，开展行业信用评价，提升监管精准性和有效性。</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color w:val="000000" w:themeColor="text1"/>
          <w:spacing w:val="0"/>
          <w:w w:val="100"/>
          <w:lang w:eastAsia="zh-CN"/>
        </w:rPr>
      </w:pPr>
      <w:r>
        <w:rPr>
          <w:rFonts w:hint="eastAsia" w:ascii="楷体_GB2312" w:eastAsia="楷体_GB2312"/>
          <w:color w:val="000000" w:themeColor="text1"/>
          <w:spacing w:val="0"/>
          <w:w w:val="100"/>
        </w:rPr>
        <w:t>（二十）公平竞争</w:t>
      </w:r>
      <w:r>
        <w:rPr>
          <w:rFonts w:hint="eastAsia" w:ascii="楷体_GB2312" w:eastAsia="楷体_GB2312"/>
          <w:color w:val="000000" w:themeColor="text1"/>
          <w:spacing w:val="0"/>
          <w:w w:val="100"/>
          <w:lang w:eastAsia="zh-CN"/>
        </w:rPr>
        <w:t>。</w:t>
      </w:r>
      <w:r>
        <w:rPr>
          <w:rFonts w:hint="eastAsia" w:ascii="仿宋_GB2312" w:hAnsi="仿宋_GB2312" w:eastAsia="仿宋_GB2312" w:cs="仿宋_GB2312"/>
          <w:color w:val="000000" w:themeColor="text1"/>
          <w:sz w:val="32"/>
          <w:szCs w:val="32"/>
        </w:rPr>
        <w:t>严格落实公平竞争审查制度，遵循“谁制定、谁审查”原则，</w:t>
      </w:r>
      <w:r>
        <w:rPr>
          <w:rFonts w:hint="eastAsia" w:ascii="仿宋_GB2312" w:hAnsi="仿宋_GB2312" w:eastAsia="仿宋_GB2312" w:cs="仿宋_GB2312"/>
          <w:color w:val="000000" w:themeColor="text1"/>
          <w:sz w:val="32"/>
          <w:szCs w:val="32"/>
          <w:lang w:val="en-US" w:eastAsia="zh-CN"/>
        </w:rPr>
        <w:t>对与市场主体生产经营活动密切相关的市场准入和退出、产业发展、招商引资、招标投标、政府采购、经营行为规范、资质标准等规章、规范性文件、其他政策性文件，全部纳入公平竞争审查范畴，实现公平竞争审查全覆盖。</w:t>
      </w:r>
      <w:r>
        <w:rPr>
          <w:rFonts w:hint="eastAsia" w:ascii="仿宋_GB2312" w:hAnsi="仿宋_GB2312" w:eastAsia="仿宋_GB2312" w:cs="仿宋_GB2312"/>
          <w:color w:val="000000" w:themeColor="text1"/>
          <w:sz w:val="32"/>
          <w:szCs w:val="32"/>
        </w:rPr>
        <w:t>认真落实公平竞争审查政策措施会审制度，提升审查结论准确性。</w:t>
      </w:r>
      <w:r>
        <w:rPr>
          <w:rFonts w:hint="eastAsia" w:ascii="仿宋_GB2312" w:hAnsi="仿宋_GB2312" w:eastAsia="仿宋_GB2312" w:cs="仿宋_GB2312"/>
          <w:color w:val="000000" w:themeColor="text1"/>
          <w:sz w:val="32"/>
          <w:szCs w:val="32"/>
          <w:lang w:val="en-US" w:eastAsia="zh-CN"/>
        </w:rPr>
        <w:t>对违反公平竞争审查原则的行政规范性文件及时纠正、清理、公布。及时开展公平竞争评估，及时发现和纠正排除限制市场公平竞争的行为，进一步提高公平竞争审查质量，确保审查效果，推动公平竞争审查制度深入实施，激发市场活力。组织开展不正当竞争热点问题和典型违法活动治理</w:t>
      </w:r>
      <w:r>
        <w:rPr>
          <w:rFonts w:hint="eastAsia" w:cs="仿宋_GB2312"/>
          <w:color w:val="000000" w:themeColor="text1"/>
          <w:sz w:val="32"/>
          <w:szCs w:val="32"/>
          <w:lang w:val="en-US" w:eastAsia="zh-CN"/>
        </w:rPr>
        <w:t>，</w:t>
      </w:r>
      <w:r>
        <w:rPr>
          <w:rFonts w:hint="eastAsia" w:ascii="仿宋_GB2312" w:hAnsi="仿宋_GB2312" w:eastAsia="仿宋_GB2312" w:cs="仿宋_GB2312"/>
          <w:color w:val="000000" w:themeColor="text1"/>
          <w:sz w:val="32"/>
          <w:szCs w:val="32"/>
          <w:lang w:val="en-US" w:eastAsia="zh-CN"/>
        </w:rPr>
        <w:t>聚焦民生和新消费领域中的热点问题、聚焦重要商品和要素市场中的侵犯知识产权问题、聚焦商业营销中的焦点问题、聚焦新产业新业态新模式中的不正当竞争问题，加大执法力度，积极查办重</w:t>
      </w:r>
      <w:r>
        <w:rPr>
          <w:rFonts w:hint="eastAsia"/>
          <w:color w:val="000000" w:themeColor="text1"/>
          <w:spacing w:val="0"/>
          <w:w w:val="100"/>
          <w:lang w:val="en-US" w:eastAsia="zh-CN"/>
        </w:rPr>
        <w:t>大、典型及标志性案件</w:t>
      </w:r>
      <w:r>
        <w:rPr>
          <w:rFonts w:hint="eastAsia"/>
          <w:color w:val="000000" w:themeColor="text1"/>
          <w:spacing w:val="0"/>
          <w:w w:val="100"/>
          <w:lang w:eastAsia="zh-CN"/>
        </w:rPr>
        <w:t>。</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黑体" w:eastAsia="黑体"/>
          <w:color w:val="000000" w:themeColor="text1"/>
          <w:spacing w:val="0"/>
          <w:w w:val="100"/>
          <w:lang w:eastAsia="zh-CN"/>
        </w:rPr>
      </w:pPr>
      <w:r>
        <w:rPr>
          <w:rFonts w:hint="eastAsia" w:ascii="黑体" w:eastAsia="黑体"/>
          <w:color w:val="000000" w:themeColor="text1"/>
          <w:spacing w:val="0"/>
          <w:w w:val="100"/>
        </w:rPr>
        <w:t>四、</w:t>
      </w:r>
      <w:r>
        <w:rPr>
          <w:rFonts w:hint="eastAsia" w:ascii="黑体" w:eastAsia="黑体"/>
          <w:color w:val="000000" w:themeColor="text1"/>
          <w:spacing w:val="0"/>
          <w:w w:val="100"/>
          <w:lang w:eastAsia="zh-CN"/>
        </w:rPr>
        <w:t>创新举措，统筹推进，促进助企暖企取得新突破</w:t>
      </w:r>
    </w:p>
    <w:p>
      <w:pPr>
        <w:pStyle w:val="4"/>
        <w:keepNext w:val="0"/>
        <w:keepLines w:val="0"/>
        <w:pageBreakBefore w:val="0"/>
        <w:widowControl w:val="0"/>
        <w:tabs>
          <w:tab w:val="left" w:pos="1056"/>
          <w:tab w:val="left" w:pos="6442"/>
        </w:tabs>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color w:val="000000" w:themeColor="text1"/>
          <w:spacing w:val="0"/>
          <w:w w:val="100"/>
        </w:rPr>
      </w:pPr>
      <w:r>
        <w:rPr>
          <w:rFonts w:hint="eastAsia" w:ascii="楷体_GB2312" w:hAnsi="楷体_GB2312" w:eastAsia="楷体_GB2312"/>
          <w:color w:val="000000" w:themeColor="text1"/>
          <w:spacing w:val="0"/>
          <w:w w:val="100"/>
        </w:rPr>
        <w:t>（一）</w:t>
      </w:r>
      <w:r>
        <w:rPr>
          <w:rFonts w:hint="eastAsia" w:ascii="楷体_GB2312" w:hAnsi="楷体_GB2312" w:eastAsia="楷体_GB2312"/>
          <w:color w:val="000000" w:themeColor="text1"/>
          <w:spacing w:val="0"/>
          <w:w w:val="100"/>
          <w:lang w:val="en-US" w:eastAsia="zh-CN"/>
        </w:rPr>
        <w:t>强化措施办法力促招商引资突破。</w:t>
      </w:r>
      <w:r>
        <w:rPr>
          <w:color w:val="000000" w:themeColor="text1"/>
          <w:spacing w:val="0"/>
          <w:w w:val="100"/>
        </w:rPr>
        <w:t>建立健全招商引资工作机制</w:t>
      </w:r>
      <w:r>
        <w:rPr>
          <w:rFonts w:hint="eastAsia"/>
          <w:color w:val="000000" w:themeColor="text1"/>
          <w:spacing w:val="0"/>
          <w:w w:val="100"/>
          <w:lang w:eastAsia="zh-CN"/>
        </w:rPr>
        <w:t>，</w:t>
      </w:r>
      <w:r>
        <w:rPr>
          <w:color w:val="000000" w:themeColor="text1"/>
          <w:spacing w:val="0"/>
          <w:w w:val="100"/>
        </w:rPr>
        <w:t>压实</w:t>
      </w:r>
      <w:r>
        <w:rPr>
          <w:rFonts w:hint="eastAsia"/>
          <w:color w:val="000000" w:themeColor="text1"/>
          <w:spacing w:val="0"/>
          <w:w w:val="100"/>
          <w:lang w:eastAsia="zh-CN"/>
        </w:rPr>
        <w:t>乡镇、部门单位</w:t>
      </w:r>
      <w:r>
        <w:rPr>
          <w:color w:val="000000" w:themeColor="text1"/>
          <w:spacing w:val="0"/>
          <w:w w:val="100"/>
        </w:rPr>
        <w:t>和产业链专班招商主体责任</w:t>
      </w:r>
      <w:r>
        <w:rPr>
          <w:rFonts w:hint="eastAsia"/>
          <w:color w:val="000000" w:themeColor="text1"/>
          <w:spacing w:val="0"/>
          <w:w w:val="100"/>
          <w:lang w:eastAsia="zh-CN"/>
        </w:rPr>
        <w:t>，</w:t>
      </w:r>
      <w:r>
        <w:rPr>
          <w:color w:val="000000" w:themeColor="text1"/>
          <w:spacing w:val="0"/>
          <w:w w:val="100"/>
        </w:rPr>
        <w:t>从项目对接洽谈到落地投产提供便捷、高效的“一条龙”服务。</w:t>
      </w:r>
      <w:r>
        <w:rPr>
          <w:rFonts w:hint="eastAsia"/>
          <w:color w:val="000000" w:themeColor="text1"/>
          <w:spacing w:val="0"/>
          <w:w w:val="100"/>
        </w:rPr>
        <w:t>分解下达《2023年招商引资任务清单》，党政主要领导年内带队外出招商不少于4次，各招商专班每季度外出招商不少于1次，参加各类推介会、洽谈会活动不少于2次，力争引进落地亿元以上项目不少于6个、5000万元以上项目不少于5个</w:t>
      </w:r>
      <w:r>
        <w:rPr>
          <w:rFonts w:hint="eastAsia"/>
          <w:color w:val="000000" w:themeColor="text1"/>
          <w:spacing w:val="0"/>
          <w:w w:val="100"/>
          <w:lang w:eastAsia="zh-CN"/>
        </w:rPr>
        <w:t>、</w:t>
      </w:r>
      <w:r>
        <w:rPr>
          <w:color w:val="000000" w:themeColor="text1"/>
          <w:spacing w:val="0"/>
          <w:w w:val="100"/>
        </w:rPr>
        <w:t>省外到位资金同比增长2</w:t>
      </w:r>
      <w:r>
        <w:rPr>
          <w:rFonts w:hint="eastAsia"/>
          <w:color w:val="000000" w:themeColor="text1"/>
          <w:spacing w:val="0"/>
          <w:w w:val="100"/>
          <w:lang w:val="en-US" w:eastAsia="zh-CN"/>
        </w:rPr>
        <w:t>8</w:t>
      </w:r>
      <w:r>
        <w:rPr>
          <w:color w:val="000000" w:themeColor="text1"/>
          <w:spacing w:val="0"/>
          <w:w w:val="100"/>
        </w:rPr>
        <w:t>%以上。围绕综合能源、新材料、农畜产品精深加工等</w:t>
      </w:r>
      <w:r>
        <w:rPr>
          <w:rFonts w:hint="eastAsia"/>
          <w:color w:val="000000" w:themeColor="text1"/>
          <w:spacing w:val="0"/>
          <w:w w:val="100"/>
          <w:lang w:val="en-US" w:eastAsia="zh-CN"/>
        </w:rPr>
        <w:t>8</w:t>
      </w:r>
      <w:r>
        <w:rPr>
          <w:color w:val="000000" w:themeColor="text1"/>
          <w:spacing w:val="0"/>
          <w:w w:val="100"/>
        </w:rPr>
        <w:t>个重点招商产业链，科学谋划招商项目，</w:t>
      </w:r>
      <w:r>
        <w:rPr>
          <w:rFonts w:hint="eastAsia"/>
          <w:color w:val="000000" w:themeColor="text1"/>
          <w:spacing w:val="0"/>
          <w:w w:val="100"/>
        </w:rPr>
        <w:t>建立《肃南县2023年招商引资项目库》《目标企业清单》</w:t>
      </w:r>
      <w:r>
        <w:rPr>
          <w:rFonts w:hint="eastAsia"/>
          <w:color w:val="000000" w:themeColor="text1"/>
          <w:spacing w:val="0"/>
          <w:w w:val="100"/>
          <w:lang w:eastAsia="zh-CN"/>
        </w:rPr>
        <w:t>，</w:t>
      </w:r>
      <w:r>
        <w:rPr>
          <w:color w:val="000000" w:themeColor="text1"/>
          <w:spacing w:val="0"/>
          <w:w w:val="100"/>
        </w:rPr>
        <w:t>完善“两图谱四清单”，提升招商工作精准度。</w:t>
      </w:r>
      <w:r>
        <w:rPr>
          <w:rFonts w:hint="eastAsia"/>
          <w:color w:val="000000" w:themeColor="text1"/>
          <w:spacing w:val="0"/>
          <w:w w:val="100"/>
        </w:rPr>
        <w:t>建立“责任部门周调度、主管部门旬调度、产业链长月调度、指挥长季调度”的调度机制，“指挥长考察洽谈、链长跟进对接、专班跟踪落实、办公室督查推进”的洽谈落实机制和县、乡（镇）、部门、园区“四级”专人帮包的全流程闭环推进机制</w:t>
      </w:r>
      <w:r>
        <w:rPr>
          <w:rFonts w:hint="eastAsia"/>
          <w:color w:val="000000" w:themeColor="text1"/>
          <w:spacing w:val="0"/>
          <w:w w:val="100"/>
          <w:lang w:eastAsia="zh-CN"/>
        </w:rPr>
        <w:t>。</w:t>
      </w:r>
      <w:r>
        <w:rPr>
          <w:color w:val="000000" w:themeColor="text1"/>
          <w:spacing w:val="0"/>
          <w:w w:val="100"/>
        </w:rPr>
        <w:t>充分发挥工商联和商会组织内引外联作用，广泛调动会员企业家积极性和主动性，开展以商引商、以情招商。</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16" w:firstLineChars="200"/>
        <w:jc w:val="both"/>
        <w:textAlignment w:val="auto"/>
        <w:rPr>
          <w:rFonts w:hint="eastAsia"/>
          <w:color w:val="000000" w:themeColor="text1"/>
          <w:spacing w:val="0"/>
          <w:w w:val="100"/>
        </w:rPr>
      </w:pPr>
      <w:r>
        <w:rPr>
          <w:rFonts w:hint="eastAsia" w:ascii="楷体_GB2312" w:hAnsi="楷体_GB2312" w:eastAsia="楷体_GB2312" w:cs="楷体_GB2312"/>
          <w:b w:val="0"/>
          <w:bCs w:val="0"/>
          <w:color w:val="000000" w:themeColor="text1"/>
          <w:spacing w:val="-6"/>
          <w:sz w:val="32"/>
          <w:szCs w:val="32"/>
          <w:lang w:val="en-US" w:eastAsia="zh-CN"/>
        </w:rPr>
        <w:t>（二）落实工作责任破解企业发展难题</w:t>
      </w:r>
      <w:r>
        <w:rPr>
          <w:rFonts w:hint="eastAsia" w:cs="仿宋_GB2312"/>
          <w:b w:val="0"/>
          <w:bCs w:val="0"/>
          <w:color w:val="000000" w:themeColor="text1"/>
          <w:spacing w:val="-6"/>
          <w:sz w:val="32"/>
          <w:szCs w:val="32"/>
          <w:lang w:val="en-US" w:eastAsia="zh-CN"/>
        </w:rPr>
        <w:t>。</w:t>
      </w:r>
      <w:r>
        <w:rPr>
          <w:rFonts w:hint="eastAsia"/>
          <w:color w:val="000000" w:themeColor="text1"/>
          <w:spacing w:val="0"/>
          <w:w w:val="100"/>
          <w:lang w:val="en-US" w:eastAsia="zh-CN"/>
        </w:rPr>
        <w:t>坚持分级分类实施，做到县级领导包抓联规上工业企业和重点工业项目，部门主要负责同志包抓联规下工业企业和拟升规企业，实现领导干部包抓联服务工业企业全覆盖。建立企业“白名单”，扶持企业做优做强做大。深入推进国企整合重组，建立健全现代化企业管理制度，有效防范化解各类风险，不断提升经营质量和效益。全面推行企业“六必访”制度，建立“一企一档”问题库，实施重点企业“一企一策”，保障减税降费、奖励补贴、“不来即享”等惠企政策应享尽享。开展“千企调研纾困”行动和“民营企业集中服务月”活动，千方百计帮助民营企业解决一批实际困难和问题。</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16" w:firstLineChars="200"/>
        <w:jc w:val="both"/>
        <w:textAlignment w:val="auto"/>
        <w:rPr>
          <w:rFonts w:hint="eastAsia"/>
          <w:color w:val="000000" w:themeColor="text1"/>
          <w:spacing w:val="0"/>
          <w:w w:val="100"/>
          <w:lang w:val="en-US" w:eastAsia="zh-CN"/>
        </w:rPr>
      </w:pPr>
      <w:r>
        <w:rPr>
          <w:rFonts w:hint="eastAsia" w:ascii="楷体_GB2312" w:hAnsi="楷体_GB2312" w:eastAsia="楷体_GB2312" w:cs="楷体_GB2312"/>
          <w:b w:val="0"/>
          <w:bCs w:val="0"/>
          <w:color w:val="000000" w:themeColor="text1"/>
          <w:spacing w:val="-6"/>
          <w:kern w:val="0"/>
          <w:sz w:val="32"/>
          <w:szCs w:val="32"/>
          <w:lang w:val="en-US" w:eastAsia="zh-CN" w:bidi="zh-CN"/>
        </w:rPr>
        <w:t>（三）共建诚信社会提振企业投资信心。</w:t>
      </w:r>
      <w:r>
        <w:rPr>
          <w:rFonts w:hint="eastAsia" w:ascii="仿宋_GB2312" w:hAnsi="仿宋_GB2312" w:eastAsia="仿宋_GB2312" w:cs="仿宋_GB2312"/>
          <w:b w:val="0"/>
          <w:color w:val="000000" w:themeColor="text1"/>
          <w:spacing w:val="0"/>
          <w:w w:val="100"/>
          <w:kern w:val="0"/>
          <w:sz w:val="32"/>
          <w:szCs w:val="32"/>
          <w:lang w:val="en-US" w:eastAsia="zh-CN" w:bidi="zh-CN"/>
        </w:rPr>
        <w:t>发挥政务诚信引领作用，在政府守信践诺、提高政务公开质量等方面，持续深化重点领域政府失信行为专项治理，助力提升政府行政效率和公信力。围绕招商引资政策兑现、合作协议履行、拖欠中小企业账款等重点领域，开展政府承诺事项履约践诺相关行动</w:t>
      </w:r>
      <w:r>
        <w:rPr>
          <w:rFonts w:hint="eastAsia" w:cs="仿宋_GB2312"/>
          <w:b w:val="0"/>
          <w:color w:val="000000" w:themeColor="text1"/>
          <w:spacing w:val="0"/>
          <w:w w:val="100"/>
          <w:kern w:val="0"/>
          <w:sz w:val="32"/>
          <w:szCs w:val="32"/>
          <w:lang w:val="en-US" w:eastAsia="zh-CN" w:bidi="zh-CN"/>
        </w:rPr>
        <w:t>，</w:t>
      </w:r>
      <w:r>
        <w:rPr>
          <w:rFonts w:hint="eastAsia" w:ascii="仿宋_GB2312" w:hAnsi="仿宋_GB2312" w:eastAsia="仿宋_GB2312" w:cs="仿宋_GB2312"/>
          <w:b w:val="0"/>
          <w:color w:val="000000" w:themeColor="text1"/>
          <w:spacing w:val="0"/>
          <w:w w:val="100"/>
          <w:kern w:val="0"/>
          <w:sz w:val="32"/>
          <w:szCs w:val="32"/>
          <w:lang w:val="en-US" w:eastAsia="zh-CN" w:bidi="zh-CN"/>
        </w:rPr>
        <w:t>避免过头承诺，不开“空头支票”，依法承诺主动践诺，特别是对中小企业账款拖欠等突出问题逐件盯办，按期化解</w:t>
      </w:r>
      <w:r>
        <w:rPr>
          <w:rFonts w:hint="eastAsia"/>
          <w:color w:val="000000" w:themeColor="text1"/>
          <w:spacing w:val="0"/>
          <w:w w:val="100"/>
          <w:lang w:val="en-US" w:eastAsia="zh-CN"/>
        </w:rPr>
        <w:t>、切实提升政府公信力，保护市场主体合法权益。</w:t>
      </w:r>
    </w:p>
    <w:p>
      <w:pPr>
        <w:pStyle w:val="4"/>
        <w:keepNext w:val="0"/>
        <w:keepLines w:val="0"/>
        <w:pageBreakBefore w:val="0"/>
        <w:widowControl w:val="0"/>
        <w:tabs>
          <w:tab w:val="left" w:pos="1056"/>
          <w:tab w:val="left" w:pos="3307"/>
          <w:tab w:val="left" w:pos="3591"/>
          <w:tab w:val="left" w:pos="4224"/>
          <w:tab w:val="left" w:pos="5491"/>
        </w:tabs>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color w:val="000000" w:themeColor="text1"/>
          <w:spacing w:val="0"/>
          <w:w w:val="100"/>
        </w:rPr>
      </w:pPr>
      <w:r>
        <w:rPr>
          <w:rFonts w:hint="eastAsia" w:ascii="楷体_GB2312" w:hAnsi="楷体_GB2312" w:eastAsia="楷体_GB2312"/>
          <w:b w:val="0"/>
          <w:bCs w:val="0"/>
          <w:color w:val="000000" w:themeColor="text1"/>
          <w:spacing w:val="0"/>
          <w:w w:val="100"/>
        </w:rPr>
        <w:t>（四）</w:t>
      </w:r>
      <w:r>
        <w:rPr>
          <w:rFonts w:hint="eastAsia" w:ascii="楷体_GB2312" w:hAnsi="楷体_GB2312" w:eastAsia="楷体_GB2312" w:cs="楷体_GB2312"/>
          <w:b w:val="0"/>
          <w:bCs w:val="0"/>
          <w:color w:val="000000" w:themeColor="text1"/>
          <w:spacing w:val="-6"/>
          <w:kern w:val="0"/>
          <w:sz w:val="32"/>
          <w:szCs w:val="32"/>
          <w:lang w:val="en-US" w:eastAsia="zh-CN" w:bidi="zh-CN"/>
        </w:rPr>
        <w:t>真督实查确保工作任务落实落细。</w:t>
      </w:r>
      <w:r>
        <w:rPr>
          <w:color w:val="000000" w:themeColor="text1"/>
          <w:spacing w:val="0"/>
          <w:w w:val="100"/>
        </w:rPr>
        <w:t>加强纪检监察监督、行政监督、舆论监督和社会监督工作合力，</w:t>
      </w:r>
      <w:r>
        <w:rPr>
          <w:rFonts w:hint="eastAsia"/>
          <w:color w:val="000000" w:themeColor="text1"/>
          <w:spacing w:val="0"/>
          <w:w w:val="100"/>
          <w:lang w:eastAsia="zh-CN"/>
        </w:rPr>
        <w:t>县</w:t>
      </w:r>
      <w:r>
        <w:rPr>
          <w:color w:val="000000" w:themeColor="text1"/>
          <w:spacing w:val="0"/>
          <w:w w:val="100"/>
        </w:rPr>
        <w:t>纪委监委机关、</w:t>
      </w:r>
      <w:r>
        <w:rPr>
          <w:rFonts w:hint="eastAsia"/>
          <w:color w:val="000000" w:themeColor="text1"/>
          <w:spacing w:val="0"/>
          <w:w w:val="100"/>
          <w:lang w:eastAsia="zh-CN"/>
        </w:rPr>
        <w:t>县</w:t>
      </w:r>
      <w:r>
        <w:rPr>
          <w:color w:val="000000" w:themeColor="text1"/>
          <w:spacing w:val="0"/>
          <w:w w:val="100"/>
        </w:rPr>
        <w:t>委办公室、</w:t>
      </w:r>
      <w:r>
        <w:rPr>
          <w:rFonts w:hint="eastAsia"/>
          <w:color w:val="000000" w:themeColor="text1"/>
          <w:spacing w:val="0"/>
          <w:w w:val="100"/>
          <w:lang w:eastAsia="zh-CN"/>
        </w:rPr>
        <w:t>县</w:t>
      </w:r>
      <w:r>
        <w:rPr>
          <w:color w:val="000000" w:themeColor="text1"/>
          <w:spacing w:val="0"/>
          <w:w w:val="100"/>
        </w:rPr>
        <w:t>政府办公室抽调专人组成联合督查组，严格按照“四不两直”要求，采取明察与暗访相结合方式，主动发现、推动解决优化营商环境抓而不紧、抓而不实等问题，保障“攻坚突破年”行动各项目标任务落实见效</w:t>
      </w:r>
      <w:r>
        <w:rPr>
          <w:rFonts w:hint="eastAsia"/>
          <w:color w:val="000000" w:themeColor="text1"/>
          <w:spacing w:val="0"/>
          <w:w w:val="100"/>
          <w:lang w:eastAsia="zh-CN"/>
        </w:rPr>
        <w:t>。</w:t>
      </w:r>
      <w:r>
        <w:rPr>
          <w:color w:val="000000" w:themeColor="text1"/>
          <w:spacing w:val="0"/>
          <w:w w:val="100"/>
        </w:rPr>
        <w:t>主流新闻媒体积极发挥舆论监督作用，及时宣传营商环境经验和做法，公开曝光损害营商环境典型案例</w:t>
      </w:r>
      <w:r>
        <w:rPr>
          <w:rFonts w:hint="eastAsia"/>
          <w:color w:val="000000" w:themeColor="text1"/>
          <w:spacing w:val="0"/>
          <w:w w:val="100"/>
          <w:lang w:eastAsia="zh-CN"/>
        </w:rPr>
        <w:t>。</w:t>
      </w:r>
      <w:r>
        <w:rPr>
          <w:color w:val="000000" w:themeColor="text1"/>
          <w:spacing w:val="0"/>
          <w:w w:val="100"/>
        </w:rPr>
        <w:t>强化社会监督，鼓励市场主体和群众通过政府门户网站</w:t>
      </w:r>
      <w:r>
        <w:rPr>
          <w:rFonts w:hint="eastAsia"/>
          <w:color w:val="000000" w:themeColor="text1"/>
          <w:spacing w:val="0"/>
          <w:w w:val="100"/>
          <w:lang w:eastAsia="zh-CN"/>
        </w:rPr>
        <w:t>、</w:t>
      </w:r>
      <w:r>
        <w:rPr>
          <w:color w:val="000000" w:themeColor="text1"/>
          <w:spacing w:val="0"/>
          <w:w w:val="100"/>
        </w:rPr>
        <w:t>一体化政务服务平台</w:t>
      </w:r>
      <w:r>
        <w:rPr>
          <w:rFonts w:hint="eastAsia"/>
          <w:color w:val="000000" w:themeColor="text1"/>
          <w:spacing w:val="0"/>
          <w:w w:val="100"/>
          <w:lang w:eastAsia="zh-CN"/>
        </w:rPr>
        <w:t>、</w:t>
      </w:r>
      <w:r>
        <w:rPr>
          <w:color w:val="000000" w:themeColor="text1"/>
          <w:spacing w:val="0"/>
          <w:w w:val="100"/>
        </w:rPr>
        <w:t>12345热线等方式反映诉求和问题。对工作推进不力、重点领域改革滞后、20项指标优化提升不明显、助企纾困政策落实不到位、招商引资承诺不兑现等影响营商环境的问题</w:t>
      </w:r>
      <w:r>
        <w:rPr>
          <w:rFonts w:hint="eastAsia"/>
          <w:color w:val="000000" w:themeColor="text1"/>
          <w:spacing w:val="0"/>
          <w:w w:val="100"/>
          <w:lang w:eastAsia="zh-CN"/>
        </w:rPr>
        <w:t>，</w:t>
      </w:r>
      <w:r>
        <w:rPr>
          <w:color w:val="000000" w:themeColor="text1"/>
          <w:spacing w:val="0"/>
          <w:w w:val="100"/>
        </w:rPr>
        <w:t>及时进行约谈提醒、限期整改和通报批评。对问题整改不落实、落不实的人和事严肃追责问责。</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16" w:firstLineChars="200"/>
        <w:jc w:val="both"/>
        <w:textAlignment w:val="auto"/>
        <w:rPr>
          <w:rFonts w:hint="eastAsia"/>
          <w:color w:val="000000" w:themeColor="text1"/>
          <w:spacing w:val="0"/>
          <w:w w:val="100"/>
        </w:rPr>
      </w:pPr>
      <w:r>
        <w:rPr>
          <w:rFonts w:hint="eastAsia" w:ascii="楷体_GB2312" w:hAnsi="楷体_GB2312" w:eastAsia="楷体_GB2312" w:cs="楷体_GB2312"/>
          <w:b w:val="0"/>
          <w:bCs w:val="0"/>
          <w:color w:val="000000" w:themeColor="text1"/>
          <w:spacing w:val="-6"/>
          <w:kern w:val="0"/>
          <w:sz w:val="32"/>
          <w:szCs w:val="32"/>
          <w:lang w:val="en-US" w:eastAsia="zh-CN" w:bidi="zh-CN"/>
        </w:rPr>
        <w:t>（五）建立容错机制激励干部担当作为。</w:t>
      </w:r>
      <w:r>
        <w:rPr>
          <w:color w:val="000000" w:themeColor="text1"/>
          <w:spacing w:val="0"/>
          <w:w w:val="100"/>
        </w:rPr>
        <w:t>强化正向激励，把优化营商环境工作纳入各级领导班子和领导干部考核评价，对优化营商环境工作中，能力突出、作风过硬、成效显著、企业和群众认可的干部，给予褒奖优先晋升职级或提拔重用。严格落实“三个区分开来”要求，认真贯彻执行《甘肃省鼓励改革创新干事创业容错纠错实施办法》《甘肃省纪检监察机关容错免责工作办法》，把容错免责贯穿监督执纪全过程，对适用容错纠错情形的合理容错、及时纠错，防止问责泛化，对容错免责的干部在考核任用中客观评价、大胆使用，推动形成干部能为、地方敢闯、企业敢干的良好发展氛围</w:t>
      </w:r>
      <w:r>
        <w:rPr>
          <w:rFonts w:hint="eastAsia"/>
          <w:color w:val="000000" w:themeColor="text1"/>
          <w:spacing w:val="0"/>
          <w:w w:val="100"/>
          <w:lang w:eastAsia="zh-CN"/>
        </w:rPr>
        <w:t>。同时，</w:t>
      </w:r>
      <w:r>
        <w:rPr>
          <w:color w:val="000000" w:themeColor="text1"/>
          <w:spacing w:val="0"/>
          <w:w w:val="100"/>
        </w:rPr>
        <w:t>坚决打击处理不实举报，切实保护干部干事创业的积极性</w:t>
      </w:r>
      <w:r>
        <w:rPr>
          <w:rFonts w:hint="eastAsia"/>
          <w:color w:val="000000" w:themeColor="text1"/>
          <w:spacing w:val="0"/>
          <w:w w:val="100"/>
          <w:lang w:eastAsia="zh-CN"/>
        </w:rPr>
        <w:t>。</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黑体" w:eastAsia="黑体"/>
          <w:color w:val="000000" w:themeColor="text1"/>
          <w:spacing w:val="0"/>
          <w:w w:val="100"/>
        </w:rPr>
      </w:pPr>
      <w:r>
        <w:rPr>
          <w:rFonts w:hint="eastAsia" w:ascii="黑体" w:eastAsia="黑体"/>
          <w:color w:val="000000" w:themeColor="text1"/>
          <w:spacing w:val="0"/>
          <w:w w:val="100"/>
        </w:rPr>
        <w:t>五、组织保障</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color w:val="000000" w:themeColor="text1"/>
          <w:spacing w:val="0"/>
          <w:w w:val="100"/>
        </w:rPr>
      </w:pPr>
      <w:r>
        <w:rPr>
          <w:rFonts w:hint="eastAsia" w:ascii="楷体_GB2312" w:hAnsi="楷体_GB2312" w:eastAsia="楷体_GB2312"/>
          <w:b w:val="0"/>
          <w:bCs w:val="0"/>
          <w:color w:val="000000" w:themeColor="text1"/>
          <w:spacing w:val="0"/>
          <w:w w:val="100"/>
        </w:rPr>
        <w:t>（一）加强组织领导</w:t>
      </w:r>
      <w:r>
        <w:rPr>
          <w:rFonts w:hint="eastAsia" w:ascii="楷体_GB2312" w:hAnsi="楷体_GB2312" w:eastAsia="楷体_GB2312"/>
          <w:b w:val="0"/>
          <w:bCs w:val="0"/>
          <w:color w:val="000000" w:themeColor="text1"/>
          <w:spacing w:val="0"/>
          <w:w w:val="100"/>
          <w:lang w:eastAsia="zh-CN"/>
        </w:rPr>
        <w:t>，压实工作责任</w:t>
      </w:r>
      <w:r>
        <w:rPr>
          <w:rFonts w:hint="eastAsia" w:ascii="楷体_GB2312" w:hAnsi="楷体_GB2312" w:eastAsia="楷体_GB2312"/>
          <w:b w:val="0"/>
          <w:bCs w:val="0"/>
          <w:color w:val="000000" w:themeColor="text1"/>
          <w:spacing w:val="0"/>
          <w:w w:val="100"/>
        </w:rPr>
        <w:t>。</w:t>
      </w:r>
      <w:r>
        <w:rPr>
          <w:color w:val="000000" w:themeColor="text1"/>
          <w:spacing w:val="0"/>
          <w:w w:val="100"/>
        </w:rPr>
        <w:t>成立全</w:t>
      </w:r>
      <w:r>
        <w:rPr>
          <w:rFonts w:hint="eastAsia"/>
          <w:color w:val="000000" w:themeColor="text1"/>
          <w:spacing w:val="0"/>
          <w:w w:val="100"/>
          <w:lang w:eastAsia="zh-CN"/>
        </w:rPr>
        <w:t>县</w:t>
      </w:r>
      <w:r>
        <w:rPr>
          <w:color w:val="000000" w:themeColor="text1"/>
          <w:spacing w:val="0"/>
          <w:w w:val="100"/>
        </w:rPr>
        <w:t>“优化营商环境攻坚突破年”行动工作专班，统筹推进各项工作。各</w:t>
      </w:r>
      <w:r>
        <w:rPr>
          <w:rFonts w:hint="eastAsia"/>
          <w:color w:val="000000" w:themeColor="text1"/>
          <w:spacing w:val="0"/>
          <w:w w:val="100"/>
          <w:lang w:eastAsia="zh-CN"/>
        </w:rPr>
        <w:t>乡镇</w:t>
      </w:r>
      <w:r>
        <w:rPr>
          <w:color w:val="000000" w:themeColor="text1"/>
          <w:spacing w:val="0"/>
          <w:w w:val="100"/>
        </w:rPr>
        <w:t>、各部门单位要扛牢主体责任和行业责任，党政主要负责同志负总责，分管领导同志具体抓，精心安排，周密部署，实行月调度、季考评、年总结</w:t>
      </w:r>
      <w:r>
        <w:rPr>
          <w:rFonts w:hint="eastAsia"/>
          <w:color w:val="000000" w:themeColor="text1"/>
          <w:spacing w:val="0"/>
          <w:w w:val="100"/>
          <w:lang w:eastAsia="zh-CN"/>
        </w:rPr>
        <w:t>，</w:t>
      </w:r>
      <w:r>
        <w:rPr>
          <w:color w:val="000000" w:themeColor="text1"/>
          <w:spacing w:val="0"/>
          <w:w w:val="100"/>
        </w:rPr>
        <w:t>有计划、有步骤、分层次推动落实，确保行动有力有序有效开展。</w:t>
      </w:r>
    </w:p>
    <w:p>
      <w:pPr>
        <w:pStyle w:val="4"/>
        <w:keepNext w:val="0"/>
        <w:keepLines w:val="0"/>
        <w:pageBreakBefore w:val="0"/>
        <w:widowControl w:val="0"/>
        <w:tabs>
          <w:tab w:val="left" w:pos="8342"/>
        </w:tabs>
        <w:kinsoku/>
        <w:wordWrap/>
        <w:overflowPunct/>
        <w:topLinePunct w:val="0"/>
        <w:autoSpaceDE w:val="0"/>
        <w:autoSpaceDN w:val="0"/>
        <w:bidi w:val="0"/>
        <w:adjustRightInd/>
        <w:snapToGrid/>
        <w:spacing w:before="0" w:line="560" w:lineRule="exact"/>
        <w:ind w:right="0" w:firstLine="640" w:firstLineChars="200"/>
        <w:jc w:val="both"/>
        <w:textAlignment w:val="auto"/>
        <w:rPr>
          <w:rFonts w:hint="eastAsia"/>
          <w:color w:val="000000" w:themeColor="text1"/>
          <w:spacing w:val="0"/>
          <w:w w:val="100"/>
          <w:lang w:eastAsia="zh-CN"/>
        </w:rPr>
      </w:pPr>
      <w:r>
        <w:rPr>
          <w:rFonts w:hint="eastAsia" w:ascii="楷体_GB2312" w:hAnsi="楷体_GB2312" w:eastAsia="楷体_GB2312"/>
          <w:b w:val="0"/>
          <w:bCs w:val="0"/>
          <w:color w:val="000000" w:themeColor="text1"/>
          <w:spacing w:val="0"/>
          <w:w w:val="100"/>
        </w:rPr>
        <w:t>（二）</w:t>
      </w:r>
      <w:r>
        <w:rPr>
          <w:rFonts w:hint="eastAsia" w:ascii="楷体_GB2312" w:hAnsi="楷体_GB2312" w:eastAsia="楷体_GB2312"/>
          <w:b w:val="0"/>
          <w:bCs w:val="0"/>
          <w:color w:val="000000" w:themeColor="text1"/>
          <w:spacing w:val="0"/>
          <w:w w:val="100"/>
          <w:lang w:eastAsia="zh-CN"/>
        </w:rPr>
        <w:t>拿出务实措施，</w:t>
      </w:r>
      <w:r>
        <w:rPr>
          <w:rFonts w:hint="eastAsia" w:ascii="楷体_GB2312" w:hAnsi="楷体_GB2312" w:eastAsia="楷体_GB2312"/>
          <w:b w:val="0"/>
          <w:bCs w:val="0"/>
          <w:color w:val="000000" w:themeColor="text1"/>
          <w:spacing w:val="0"/>
          <w:w w:val="100"/>
        </w:rPr>
        <w:t>狠抓任务落实。</w:t>
      </w:r>
      <w:r>
        <w:rPr>
          <w:color w:val="000000" w:themeColor="text1"/>
          <w:spacing w:val="0"/>
          <w:w w:val="100"/>
        </w:rPr>
        <w:t>各</w:t>
      </w:r>
      <w:r>
        <w:rPr>
          <w:rFonts w:hint="eastAsia"/>
          <w:color w:val="000000" w:themeColor="text1"/>
          <w:spacing w:val="0"/>
          <w:w w:val="100"/>
          <w:lang w:eastAsia="zh-CN"/>
        </w:rPr>
        <w:t>乡镇</w:t>
      </w:r>
      <w:r>
        <w:rPr>
          <w:color w:val="000000" w:themeColor="text1"/>
          <w:spacing w:val="0"/>
          <w:w w:val="100"/>
        </w:rPr>
        <w:t>、各部门单位要把优化营商环境作为深化“三抓三促”行动的具体举措，作为担好政治责任</w:t>
      </w:r>
      <w:r>
        <w:rPr>
          <w:rFonts w:hint="eastAsia"/>
          <w:color w:val="000000" w:themeColor="text1"/>
          <w:spacing w:val="0"/>
          <w:w w:val="100"/>
          <w:lang w:eastAsia="zh-CN"/>
        </w:rPr>
        <w:t>、</w:t>
      </w:r>
      <w:r>
        <w:rPr>
          <w:color w:val="000000" w:themeColor="text1"/>
          <w:spacing w:val="0"/>
          <w:w w:val="100"/>
        </w:rPr>
        <w:t>落实重大部署、转化难得机遇、解决当务之急的重要抓手</w:t>
      </w:r>
      <w:r>
        <w:rPr>
          <w:rFonts w:hint="eastAsia"/>
          <w:color w:val="000000" w:themeColor="text1"/>
          <w:spacing w:val="0"/>
          <w:w w:val="100"/>
          <w:lang w:eastAsia="zh-CN"/>
        </w:rPr>
        <w:t>，</w:t>
      </w:r>
      <w:r>
        <w:rPr>
          <w:color w:val="000000" w:themeColor="text1"/>
          <w:spacing w:val="0"/>
          <w:w w:val="100"/>
        </w:rPr>
        <w:t>依据本方案尽快制定具体实施方案，细化量化实化工作任务，鼓励创造性开展工作。各</w:t>
      </w:r>
      <w:r>
        <w:rPr>
          <w:rFonts w:hint="eastAsia"/>
          <w:color w:val="000000" w:themeColor="text1"/>
          <w:spacing w:val="0"/>
          <w:w w:val="100"/>
          <w:lang w:eastAsia="zh-CN"/>
        </w:rPr>
        <w:t>乡镇</w:t>
      </w:r>
      <w:r>
        <w:rPr>
          <w:color w:val="000000" w:themeColor="text1"/>
          <w:spacing w:val="0"/>
          <w:w w:val="100"/>
        </w:rPr>
        <w:t>、各部门单位工作方案措施印发后，及时报</w:t>
      </w:r>
      <w:r>
        <w:rPr>
          <w:rFonts w:hint="eastAsia"/>
          <w:color w:val="000000" w:themeColor="text1"/>
          <w:spacing w:val="0"/>
          <w:w w:val="100"/>
          <w:lang w:eastAsia="zh-CN"/>
        </w:rPr>
        <w:t>县发改局</w:t>
      </w:r>
      <w:r>
        <w:rPr>
          <w:color w:val="000000" w:themeColor="text1"/>
          <w:spacing w:val="0"/>
          <w:w w:val="100"/>
        </w:rPr>
        <w:t>备案</w:t>
      </w:r>
      <w:r>
        <w:rPr>
          <w:rFonts w:hint="eastAsia"/>
          <w:color w:val="000000" w:themeColor="text1"/>
          <w:spacing w:val="0"/>
          <w:w w:val="100"/>
          <w:lang w:eastAsia="zh-CN"/>
        </w:rPr>
        <w:t>。</w:t>
      </w:r>
    </w:p>
    <w:p>
      <w:pPr>
        <w:pStyle w:val="4"/>
        <w:keepNext w:val="0"/>
        <w:keepLines w:val="0"/>
        <w:pageBreakBefore w:val="0"/>
        <w:widowControl w:val="0"/>
        <w:tabs>
          <w:tab w:val="left" w:pos="8342"/>
        </w:tabs>
        <w:kinsoku/>
        <w:wordWrap/>
        <w:overflowPunct/>
        <w:topLinePunct w:val="0"/>
        <w:autoSpaceDE w:val="0"/>
        <w:autoSpaceDN w:val="0"/>
        <w:bidi w:val="0"/>
        <w:adjustRightInd/>
        <w:snapToGrid/>
        <w:spacing w:before="0" w:line="560" w:lineRule="exact"/>
        <w:ind w:right="0" w:firstLine="640" w:firstLineChars="200"/>
        <w:jc w:val="both"/>
        <w:textAlignment w:val="auto"/>
        <w:rPr>
          <w:rFonts w:hint="eastAsia" w:eastAsia="仿宋_GB2312"/>
          <w:color w:val="000000" w:themeColor="text1"/>
          <w:spacing w:val="0"/>
          <w:w w:val="100"/>
          <w:lang w:eastAsia="zh-CN"/>
        </w:rPr>
      </w:pPr>
      <w:r>
        <w:rPr>
          <w:rFonts w:hint="eastAsia" w:ascii="楷体_GB2312" w:hAnsi="楷体_GB2312" w:eastAsia="楷体_GB2312"/>
          <w:b w:val="0"/>
          <w:bCs w:val="0"/>
          <w:color w:val="000000" w:themeColor="text1"/>
          <w:spacing w:val="0"/>
          <w:w w:val="100"/>
        </w:rPr>
        <w:t>（三）强化法治保障</w:t>
      </w:r>
      <w:r>
        <w:rPr>
          <w:rFonts w:hint="eastAsia" w:ascii="楷体_GB2312" w:hAnsi="楷体_GB2312" w:eastAsia="楷体_GB2312"/>
          <w:b w:val="0"/>
          <w:bCs w:val="0"/>
          <w:color w:val="000000" w:themeColor="text1"/>
          <w:spacing w:val="0"/>
          <w:w w:val="100"/>
          <w:lang w:eastAsia="zh-CN"/>
        </w:rPr>
        <w:t>，务求工作实效。</w:t>
      </w:r>
      <w:r>
        <w:rPr>
          <w:rFonts w:hint="eastAsia"/>
          <w:color w:val="000000" w:themeColor="text1"/>
          <w:spacing w:val="0"/>
          <w:w w:val="100"/>
          <w:lang w:eastAsia="zh-CN"/>
        </w:rPr>
        <w:t>县</w:t>
      </w:r>
      <w:r>
        <w:rPr>
          <w:color w:val="000000" w:themeColor="text1"/>
          <w:spacing w:val="0"/>
          <w:w w:val="100"/>
        </w:rPr>
        <w:t>司法行政机关定期组织开展营商环境领域地方性法规、规章和规范性文件清理工作，加强政府招商引资政策的合法性审查，防范法律风险。落实“谁执法</w:t>
      </w:r>
      <w:r>
        <w:rPr>
          <w:rFonts w:hint="eastAsia"/>
          <w:color w:val="000000" w:themeColor="text1"/>
          <w:spacing w:val="0"/>
          <w:w w:val="100"/>
          <w:lang w:eastAsia="zh-CN"/>
        </w:rPr>
        <w:t>，</w:t>
      </w:r>
      <w:r>
        <w:rPr>
          <w:color w:val="000000" w:themeColor="text1"/>
          <w:spacing w:val="0"/>
          <w:w w:val="100"/>
        </w:rPr>
        <w:t>谁普法”责任制，加大优化营商环境法规政策宣传力度。畅通涉企行政复议申请渠道，健全“万所联万会”长效机制，常态化推进民营企业“法治体检”，深化“送法进企业”活动，营造</w:t>
      </w:r>
      <w:r>
        <w:rPr>
          <w:rFonts w:hint="eastAsia"/>
          <w:color w:val="000000" w:themeColor="text1"/>
          <w:spacing w:val="0"/>
          <w:w w:val="100"/>
          <w:lang w:eastAsia="zh-CN"/>
        </w:rPr>
        <w:t>我县</w:t>
      </w:r>
      <w:r>
        <w:rPr>
          <w:color w:val="000000" w:themeColor="text1"/>
          <w:spacing w:val="0"/>
          <w:w w:val="100"/>
        </w:rPr>
        <w:t>企业健康发展良好法治氛围</w:t>
      </w:r>
      <w:r>
        <w:rPr>
          <w:rFonts w:hint="eastAsia"/>
          <w:color w:val="000000" w:themeColor="text1"/>
          <w:spacing w:val="0"/>
          <w:w w:val="100"/>
          <w:lang w:eastAsia="zh-CN"/>
        </w:rPr>
        <w:t>。</w:t>
      </w:r>
    </w:p>
    <w:p>
      <w:pPr>
        <w:pStyle w:val="4"/>
        <w:keepNext w:val="0"/>
        <w:keepLines w:val="0"/>
        <w:pageBreakBefore w:val="0"/>
        <w:widowControl w:val="0"/>
        <w:tabs>
          <w:tab w:val="left" w:pos="4224"/>
        </w:tabs>
        <w:kinsoku/>
        <w:wordWrap/>
        <w:overflowPunct/>
        <w:topLinePunct w:val="0"/>
        <w:autoSpaceDE w:val="0"/>
        <w:autoSpaceDN w:val="0"/>
        <w:bidi w:val="0"/>
        <w:adjustRightInd/>
        <w:snapToGrid/>
        <w:spacing w:before="0" w:line="560" w:lineRule="exact"/>
        <w:ind w:right="0" w:firstLine="640" w:firstLineChars="200"/>
        <w:jc w:val="both"/>
        <w:textAlignment w:val="auto"/>
        <w:rPr>
          <w:color w:val="000000" w:themeColor="text1"/>
          <w:spacing w:val="0"/>
          <w:w w:val="100"/>
        </w:rPr>
      </w:pPr>
      <w:r>
        <w:rPr>
          <w:rFonts w:hint="eastAsia" w:ascii="楷体_GB2312" w:hAnsi="楷体_GB2312" w:eastAsia="楷体_GB2312"/>
          <w:b w:val="0"/>
          <w:bCs w:val="0"/>
          <w:color w:val="000000" w:themeColor="text1"/>
          <w:spacing w:val="0"/>
          <w:w w:val="100"/>
        </w:rPr>
        <w:t>（四）</w:t>
      </w:r>
      <w:r>
        <w:rPr>
          <w:rFonts w:hint="eastAsia" w:ascii="楷体_GB2312" w:hAnsi="楷体_GB2312" w:eastAsia="楷体_GB2312"/>
          <w:b w:val="0"/>
          <w:bCs w:val="0"/>
          <w:color w:val="000000" w:themeColor="text1"/>
          <w:spacing w:val="0"/>
          <w:w w:val="100"/>
          <w:lang w:eastAsia="zh-CN"/>
        </w:rPr>
        <w:t>坚持务实创新，</w:t>
      </w:r>
      <w:r>
        <w:rPr>
          <w:rFonts w:hint="eastAsia" w:ascii="楷体_GB2312" w:hAnsi="楷体_GB2312" w:eastAsia="楷体_GB2312"/>
          <w:b w:val="0"/>
          <w:bCs w:val="0"/>
          <w:color w:val="000000" w:themeColor="text1"/>
          <w:spacing w:val="0"/>
          <w:w w:val="100"/>
        </w:rPr>
        <w:t>广泛深入宣传。</w:t>
      </w:r>
      <w:r>
        <w:rPr>
          <w:rFonts w:hint="eastAsia" w:ascii="仿宋_GB2312" w:hAnsi="Calibri" w:eastAsia="仿宋_GB2312" w:cs="仿宋_GB2312"/>
          <w:i w:val="0"/>
          <w:iCs w:val="0"/>
          <w:caps w:val="0"/>
          <w:color w:val="000000" w:themeColor="text1"/>
          <w:spacing w:val="0"/>
          <w:w w:val="100"/>
          <w:kern w:val="0"/>
          <w:sz w:val="32"/>
          <w:szCs w:val="32"/>
          <w:lang w:val="en-US" w:eastAsia="zh-CN" w:bidi="ar"/>
        </w:rPr>
        <w:t>各</w:t>
      </w:r>
      <w:r>
        <w:rPr>
          <w:rFonts w:hint="eastAsia" w:hAnsi="Calibri" w:cs="仿宋_GB2312"/>
          <w:i w:val="0"/>
          <w:iCs w:val="0"/>
          <w:caps w:val="0"/>
          <w:color w:val="000000" w:themeColor="text1"/>
          <w:spacing w:val="0"/>
          <w:w w:val="100"/>
          <w:kern w:val="0"/>
          <w:sz w:val="32"/>
          <w:szCs w:val="32"/>
          <w:lang w:val="en-US" w:eastAsia="zh-CN" w:bidi="ar"/>
        </w:rPr>
        <w:t>乡镇、</w:t>
      </w:r>
      <w:r>
        <w:rPr>
          <w:rFonts w:hint="eastAsia" w:ascii="仿宋_GB2312" w:hAnsi="Calibri" w:eastAsia="仿宋_GB2312" w:cs="仿宋_GB2312"/>
          <w:i w:val="0"/>
          <w:iCs w:val="0"/>
          <w:caps w:val="0"/>
          <w:color w:val="000000" w:themeColor="text1"/>
          <w:spacing w:val="0"/>
          <w:w w:val="100"/>
          <w:kern w:val="0"/>
          <w:sz w:val="32"/>
          <w:szCs w:val="32"/>
          <w:lang w:val="en-US" w:eastAsia="zh-CN" w:bidi="ar"/>
        </w:rPr>
        <w:t>各部门</w:t>
      </w:r>
      <w:r>
        <w:rPr>
          <w:rFonts w:hint="eastAsia" w:hAnsi="Calibri" w:cs="仿宋_GB2312"/>
          <w:i w:val="0"/>
          <w:iCs w:val="0"/>
          <w:caps w:val="0"/>
          <w:color w:val="000000" w:themeColor="text1"/>
          <w:spacing w:val="0"/>
          <w:w w:val="100"/>
          <w:kern w:val="0"/>
          <w:sz w:val="32"/>
          <w:szCs w:val="32"/>
          <w:lang w:val="en-US" w:eastAsia="zh-CN" w:bidi="ar"/>
        </w:rPr>
        <w:t>单位</w:t>
      </w:r>
      <w:r>
        <w:rPr>
          <w:rFonts w:hint="eastAsia" w:ascii="仿宋_GB2312" w:hAnsi="Calibri" w:eastAsia="仿宋_GB2312" w:cs="仿宋_GB2312"/>
          <w:i w:val="0"/>
          <w:iCs w:val="0"/>
          <w:caps w:val="0"/>
          <w:color w:val="000000" w:themeColor="text1"/>
          <w:spacing w:val="0"/>
          <w:w w:val="100"/>
          <w:kern w:val="0"/>
          <w:sz w:val="32"/>
          <w:szCs w:val="32"/>
          <w:lang w:val="en-US" w:eastAsia="zh-CN" w:bidi="ar"/>
        </w:rPr>
        <w:t>要综合运用各类平台载体</w:t>
      </w:r>
      <w:r>
        <w:rPr>
          <w:color w:val="000000" w:themeColor="text1"/>
          <w:spacing w:val="0"/>
          <w:w w:val="100"/>
        </w:rPr>
        <w:t>，全方位、多层次进行优化营商环境宣传报道，打造一批进入</w:t>
      </w:r>
      <w:r>
        <w:rPr>
          <w:rFonts w:hint="eastAsia"/>
          <w:color w:val="000000" w:themeColor="text1"/>
          <w:spacing w:val="0"/>
          <w:w w:val="100"/>
          <w:lang w:eastAsia="zh-CN"/>
        </w:rPr>
        <w:t>市、县</w:t>
      </w:r>
      <w:r>
        <w:rPr>
          <w:color w:val="000000" w:themeColor="text1"/>
          <w:spacing w:val="0"/>
          <w:w w:val="100"/>
        </w:rPr>
        <w:t>先进行列的优秀标杆，扩大我</w:t>
      </w:r>
      <w:r>
        <w:rPr>
          <w:rFonts w:hint="eastAsia"/>
          <w:color w:val="000000" w:themeColor="text1"/>
          <w:spacing w:val="0"/>
          <w:w w:val="100"/>
          <w:lang w:eastAsia="zh-CN"/>
        </w:rPr>
        <w:t>县</w:t>
      </w:r>
      <w:r>
        <w:rPr>
          <w:color w:val="000000" w:themeColor="text1"/>
          <w:spacing w:val="0"/>
          <w:w w:val="100"/>
        </w:rPr>
        <w:t>良好营商环境的知名度和影响力。在主流媒体开设专栏，推送解读惠企便民政策，及时宣传各</w:t>
      </w:r>
      <w:r>
        <w:rPr>
          <w:rFonts w:hint="eastAsia"/>
          <w:color w:val="000000" w:themeColor="text1"/>
          <w:spacing w:val="0"/>
          <w:w w:val="100"/>
          <w:lang w:eastAsia="zh-CN"/>
        </w:rPr>
        <w:t>乡镇、</w:t>
      </w:r>
      <w:r>
        <w:rPr>
          <w:color w:val="000000" w:themeColor="text1"/>
          <w:spacing w:val="0"/>
          <w:w w:val="100"/>
        </w:rPr>
        <w:t>各</w:t>
      </w:r>
      <w:r>
        <w:rPr>
          <w:rFonts w:hint="eastAsia"/>
          <w:color w:val="000000" w:themeColor="text1"/>
          <w:spacing w:val="0"/>
          <w:w w:val="100"/>
          <w:lang w:eastAsia="zh-CN"/>
        </w:rPr>
        <w:t>部门</w:t>
      </w:r>
      <w:r>
        <w:rPr>
          <w:color w:val="000000" w:themeColor="text1"/>
          <w:spacing w:val="0"/>
          <w:w w:val="100"/>
        </w:rPr>
        <w:t>单位工作亮点及先进典型</w:t>
      </w:r>
      <w:r>
        <w:rPr>
          <w:rFonts w:hint="eastAsia"/>
          <w:color w:val="000000" w:themeColor="text1"/>
          <w:spacing w:val="0"/>
          <w:w w:val="100"/>
          <w:lang w:eastAsia="zh-CN"/>
        </w:rPr>
        <w:t>。</w:t>
      </w:r>
      <w:r>
        <w:rPr>
          <w:color w:val="000000" w:themeColor="text1"/>
          <w:spacing w:val="0"/>
          <w:w w:val="100"/>
        </w:rPr>
        <w:t>选择一批潜力足、前景好、贡献大的企业进行专题报道，大力弘扬企业家精神，掀起优化营商环境的新高潮。</w:t>
      </w:r>
    </w:p>
    <w:p>
      <w:pPr>
        <w:keepNext w:val="0"/>
        <w:keepLines w:val="0"/>
        <w:pageBreakBefore w:val="0"/>
        <w:tabs>
          <w:tab w:val="left" w:pos="240"/>
        </w:tabs>
        <w:kinsoku/>
        <w:wordWrap/>
        <w:overflowPunct/>
        <w:topLinePunct w:val="0"/>
        <w:bidi w:val="0"/>
        <w:adjustRightInd/>
        <w:snapToGrid/>
        <w:spacing w:before="0" w:after="0" w:line="560" w:lineRule="exact"/>
        <w:jc w:val="both"/>
        <w:textAlignment w:val="auto"/>
        <w:rPr>
          <w:rFonts w:ascii="Times New Roman"/>
          <w:sz w:val="20"/>
        </w:rPr>
      </w:pPr>
    </w:p>
    <w:p>
      <w:pPr>
        <w:pStyle w:val="2"/>
        <w:keepNext w:val="0"/>
        <w:keepLines w:val="0"/>
        <w:pageBreakBefore w:val="0"/>
        <w:kinsoku/>
        <w:wordWrap/>
        <w:overflowPunct/>
        <w:topLinePunct w:val="0"/>
        <w:bidi w:val="0"/>
        <w:adjustRightInd/>
        <w:snapToGrid/>
        <w:spacing w:before="0" w:line="560" w:lineRule="exact"/>
        <w:textAlignment w:val="auto"/>
        <w:rPr>
          <w:rFonts w:ascii="Times New Roman"/>
          <w:sz w:val="20"/>
        </w:rPr>
      </w:pPr>
    </w:p>
    <w:p>
      <w:pPr>
        <w:pStyle w:val="2"/>
        <w:keepNext w:val="0"/>
        <w:keepLines w:val="0"/>
        <w:pageBreakBefore w:val="0"/>
        <w:kinsoku/>
        <w:wordWrap/>
        <w:overflowPunct/>
        <w:topLinePunct w:val="0"/>
        <w:bidi w:val="0"/>
        <w:adjustRightInd/>
        <w:snapToGrid/>
        <w:spacing w:before="0" w:line="560" w:lineRule="exact"/>
        <w:textAlignment w:val="auto"/>
        <w:rPr>
          <w:rFonts w:ascii="Times New Roman"/>
          <w:sz w:val="20"/>
        </w:rPr>
      </w:pPr>
    </w:p>
    <w:p>
      <w:pPr>
        <w:pStyle w:val="2"/>
        <w:keepNext w:val="0"/>
        <w:keepLines w:val="0"/>
        <w:pageBreakBefore w:val="0"/>
        <w:kinsoku/>
        <w:wordWrap/>
        <w:overflowPunct/>
        <w:topLinePunct w:val="0"/>
        <w:bidi w:val="0"/>
        <w:adjustRightInd/>
        <w:snapToGrid/>
        <w:spacing w:before="0" w:line="560" w:lineRule="exact"/>
        <w:textAlignment w:val="auto"/>
        <w:rPr>
          <w:rFonts w:ascii="Times New Roman"/>
          <w:sz w:val="20"/>
        </w:rPr>
      </w:pPr>
    </w:p>
    <w:p>
      <w:pPr>
        <w:pStyle w:val="2"/>
        <w:keepNext w:val="0"/>
        <w:keepLines w:val="0"/>
        <w:pageBreakBefore w:val="0"/>
        <w:kinsoku/>
        <w:wordWrap/>
        <w:overflowPunct/>
        <w:topLinePunct w:val="0"/>
        <w:bidi w:val="0"/>
        <w:adjustRightInd/>
        <w:snapToGrid/>
        <w:spacing w:before="0" w:line="560" w:lineRule="exact"/>
        <w:textAlignment w:val="auto"/>
        <w:rPr>
          <w:rFonts w:ascii="Times New Roman"/>
          <w:sz w:val="20"/>
        </w:rPr>
      </w:pPr>
    </w:p>
    <w:p>
      <w:pPr>
        <w:pStyle w:val="2"/>
        <w:keepNext w:val="0"/>
        <w:keepLines w:val="0"/>
        <w:pageBreakBefore w:val="0"/>
        <w:kinsoku/>
        <w:wordWrap/>
        <w:overflowPunct/>
        <w:topLinePunct w:val="0"/>
        <w:bidi w:val="0"/>
        <w:adjustRightInd/>
        <w:snapToGrid/>
        <w:spacing w:before="0" w:line="560" w:lineRule="exact"/>
        <w:textAlignment w:val="auto"/>
        <w:rPr>
          <w:rFonts w:ascii="Times New Roman"/>
          <w:sz w:val="20"/>
        </w:rPr>
      </w:pPr>
    </w:p>
    <w:p>
      <w:pPr>
        <w:pStyle w:val="2"/>
        <w:keepNext w:val="0"/>
        <w:keepLines w:val="0"/>
        <w:pageBreakBefore w:val="0"/>
        <w:kinsoku/>
        <w:wordWrap/>
        <w:overflowPunct/>
        <w:topLinePunct w:val="0"/>
        <w:bidi w:val="0"/>
        <w:adjustRightInd/>
        <w:snapToGrid/>
        <w:spacing w:before="0" w:line="560" w:lineRule="exact"/>
        <w:textAlignment w:val="auto"/>
        <w:rPr>
          <w:rFonts w:ascii="Times New Roman"/>
          <w:sz w:val="20"/>
        </w:rPr>
      </w:pPr>
    </w:p>
    <w:p>
      <w:pPr>
        <w:pStyle w:val="2"/>
        <w:keepNext w:val="0"/>
        <w:keepLines w:val="0"/>
        <w:pageBreakBefore w:val="0"/>
        <w:kinsoku/>
        <w:wordWrap/>
        <w:overflowPunct/>
        <w:topLinePunct w:val="0"/>
        <w:bidi w:val="0"/>
        <w:adjustRightInd/>
        <w:snapToGrid/>
        <w:spacing w:before="0" w:line="560" w:lineRule="exact"/>
        <w:textAlignment w:val="auto"/>
        <w:rPr>
          <w:rFonts w:ascii="Times New Roman"/>
          <w:sz w:val="20"/>
        </w:rPr>
      </w:pPr>
    </w:p>
    <w:p>
      <w:pPr>
        <w:pStyle w:val="2"/>
        <w:keepNext w:val="0"/>
        <w:keepLines w:val="0"/>
        <w:pageBreakBefore w:val="0"/>
        <w:kinsoku/>
        <w:wordWrap/>
        <w:overflowPunct/>
        <w:topLinePunct w:val="0"/>
        <w:bidi w:val="0"/>
        <w:adjustRightInd/>
        <w:snapToGrid/>
        <w:spacing w:before="0" w:line="560" w:lineRule="exact"/>
        <w:textAlignment w:val="auto"/>
        <w:rPr>
          <w:rFonts w:ascii="Times New Roman"/>
          <w:sz w:val="20"/>
        </w:rPr>
      </w:pPr>
    </w:p>
    <w:p>
      <w:pPr>
        <w:spacing w:before="156" w:beforeLines="50" w:after="156" w:afterLines="50" w:line="300" w:lineRule="auto"/>
        <w:rPr>
          <w:rFonts w:hint="eastAsia" w:ascii="仿宋_GB2312" w:hAnsi="仿宋_GB2312" w:eastAsia="仿宋_GB2312" w:cs="仿宋_GB2312"/>
          <w:b/>
          <w:sz w:val="32"/>
          <w:szCs w:val="32"/>
        </w:rPr>
      </w:pPr>
      <w:r>
        <w:rPr>
          <w:rFonts w:hint="eastAsia" w:ascii="仿宋_GB2312" w:hAnsi="仿宋_GB2312" w:eastAsia="仿宋_GB2312" w:cs="仿宋_GB2312"/>
          <w:bCs/>
          <w:sz w:val="32"/>
          <w:szCs w:val="32"/>
        </w:rPr>
        <w:t>附件</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方正小标宋简体" w:hAnsi="方正小标宋简体" w:eastAsia="方正小标宋简体" w:cs="方正小标宋简体"/>
          <w:b w:val="0"/>
          <w:bCs/>
          <w:color w:val="auto"/>
          <w:sz w:val="32"/>
          <w:szCs w:val="32"/>
          <w:lang w:val="zh-CN" w:eastAsia="zh-CN" w:bidi="zh-CN"/>
        </w:rPr>
      </w:pPr>
      <w:r>
        <w:rPr>
          <w:rFonts w:hint="eastAsia" w:ascii="方正小标宋简体" w:hAnsi="方正小标宋简体" w:eastAsia="方正小标宋简体" w:cs="方正小标宋简体"/>
          <w:b w:val="0"/>
          <w:bCs/>
          <w:color w:val="auto"/>
          <w:sz w:val="32"/>
          <w:szCs w:val="32"/>
          <w:lang w:val="zh-CN" w:eastAsia="zh-CN" w:bidi="zh-CN"/>
        </w:rPr>
        <w:t>肃南县优化营商环境攻坚突破年行动实施方案</w:t>
      </w:r>
    </w:p>
    <w:p>
      <w:pPr>
        <w:keepNext w:val="0"/>
        <w:keepLines w:val="0"/>
        <w:pageBreakBefore w:val="0"/>
        <w:widowControl w:val="0"/>
        <w:kinsoku/>
        <w:overflowPunct/>
        <w:topLinePunct w:val="0"/>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color w:val="auto"/>
          <w:sz w:val="32"/>
          <w:szCs w:val="32"/>
          <w:lang w:val="zh-CN" w:eastAsia="zh-CN" w:bidi="zh-CN"/>
        </w:rPr>
      </w:pPr>
      <w:r>
        <w:rPr>
          <w:rFonts w:hint="eastAsia" w:ascii="方正小标宋简体" w:hAnsi="方正小标宋简体" w:eastAsia="方正小标宋简体" w:cs="方正小标宋简体"/>
          <w:b w:val="0"/>
          <w:bCs/>
          <w:color w:val="auto"/>
          <w:sz w:val="32"/>
          <w:szCs w:val="32"/>
          <w:lang w:val="zh-CN" w:eastAsia="zh-CN" w:bidi="zh-CN"/>
        </w:rPr>
        <w:t>征求意见反馈表</w:t>
      </w:r>
    </w:p>
    <w:p>
      <w:pPr>
        <w:keepNext w:val="0"/>
        <w:keepLines w:val="0"/>
        <w:pageBreakBefore w:val="0"/>
        <w:widowControl w:val="0"/>
        <w:kinsoku/>
        <w:wordWrap w:val="0"/>
        <w:overflowPunct/>
        <w:topLinePunct w:val="0"/>
        <w:bidi w:val="0"/>
        <w:adjustRightInd/>
        <w:snapToGrid/>
        <w:spacing w:before="0" w:after="0" w:line="560" w:lineRule="exact"/>
        <w:jc w:val="right"/>
        <w:textAlignment w:val="auto"/>
        <w:rPr>
          <w:rFonts w:hint="eastAsia" w:ascii="宋体" w:hAnsi="宋体"/>
          <w:sz w:val="28"/>
          <w:szCs w:val="28"/>
        </w:rPr>
      </w:pPr>
      <w:r>
        <w:rPr>
          <w:rFonts w:hint="eastAsia" w:ascii="宋体" w:hAnsi="宋体"/>
          <w:sz w:val="28"/>
          <w:szCs w:val="28"/>
        </w:rPr>
        <w:t xml:space="preserve">                        年   月   日</w:t>
      </w:r>
    </w:p>
    <w:tbl>
      <w:tblPr>
        <w:tblStyle w:val="1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1604"/>
        <w:gridCol w:w="360"/>
        <w:gridCol w:w="2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noWrap w:val="0"/>
            <w:vAlign w:val="center"/>
          </w:tcPr>
          <w:p>
            <w:pPr>
              <w:spacing w:before="156" w:beforeLines="50"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2132" w:type="dxa"/>
            <w:noWrap w:val="0"/>
            <w:vAlign w:val="center"/>
          </w:tcPr>
          <w:p>
            <w:pPr>
              <w:spacing w:before="156" w:beforeLines="50" w:line="360" w:lineRule="auto"/>
              <w:jc w:val="center"/>
              <w:rPr>
                <w:rFonts w:hint="eastAsia" w:ascii="仿宋_GB2312" w:hAnsi="仿宋_GB2312" w:eastAsia="仿宋_GB2312" w:cs="仿宋_GB2312"/>
                <w:sz w:val="28"/>
                <w:szCs w:val="28"/>
              </w:rPr>
            </w:pPr>
          </w:p>
        </w:tc>
        <w:tc>
          <w:tcPr>
            <w:tcW w:w="1604" w:type="dxa"/>
            <w:noWrap w:val="0"/>
            <w:vAlign w:val="center"/>
          </w:tcPr>
          <w:p>
            <w:pPr>
              <w:spacing w:before="156" w:beforeLines="50"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2660" w:type="dxa"/>
            <w:gridSpan w:val="2"/>
            <w:noWrap w:val="0"/>
            <w:vAlign w:val="center"/>
          </w:tcPr>
          <w:p>
            <w:pPr>
              <w:spacing w:before="156" w:beforeLines="50" w:line="36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noWrap w:val="0"/>
            <w:vAlign w:val="center"/>
          </w:tcPr>
          <w:p>
            <w:pPr>
              <w:spacing w:before="156" w:beforeLines="50" w:line="360" w:lineRule="auto"/>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联系电话</w:t>
            </w:r>
          </w:p>
        </w:tc>
        <w:tc>
          <w:tcPr>
            <w:tcW w:w="2132" w:type="dxa"/>
            <w:noWrap w:val="0"/>
            <w:vAlign w:val="center"/>
          </w:tcPr>
          <w:p>
            <w:pPr>
              <w:spacing w:before="156" w:beforeLines="50" w:line="360" w:lineRule="auto"/>
              <w:jc w:val="center"/>
              <w:rPr>
                <w:rFonts w:hint="eastAsia" w:ascii="仿宋_GB2312" w:hAnsi="仿宋_GB2312" w:eastAsia="仿宋_GB2312" w:cs="仿宋_GB2312"/>
                <w:sz w:val="28"/>
                <w:szCs w:val="28"/>
              </w:rPr>
            </w:pPr>
          </w:p>
        </w:tc>
        <w:tc>
          <w:tcPr>
            <w:tcW w:w="1604" w:type="dxa"/>
            <w:noWrap w:val="0"/>
            <w:vAlign w:val="center"/>
          </w:tcPr>
          <w:p>
            <w:pPr>
              <w:spacing w:before="156" w:beforeLines="50" w:line="360" w:lineRule="auto"/>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邮箱号</w:t>
            </w:r>
          </w:p>
        </w:tc>
        <w:tc>
          <w:tcPr>
            <w:tcW w:w="2660" w:type="dxa"/>
            <w:gridSpan w:val="2"/>
            <w:noWrap w:val="0"/>
            <w:vAlign w:val="center"/>
          </w:tcPr>
          <w:p>
            <w:pPr>
              <w:spacing w:before="156" w:beforeLines="50" w:line="36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5"/>
            <w:noWrap w:val="0"/>
            <w:vAlign w:val="top"/>
          </w:tcPr>
          <w:p>
            <w:pPr>
              <w:spacing w:before="156" w:beforeLines="50"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意见建议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noWrap w:val="0"/>
            <w:vAlign w:val="center"/>
          </w:tcPr>
          <w:p>
            <w:pPr>
              <w:spacing w:before="156" w:beforeLines="50" w:line="360" w:lineRule="auto"/>
              <w:ind w:right="686" w:rightChars="312"/>
              <w:jc w:val="center"/>
              <w:rPr>
                <w:rFonts w:hint="eastAsia" w:ascii="仿宋_GB2312" w:hAnsi="仿宋_GB2312" w:eastAsia="仿宋_GB2312" w:cs="仿宋_GB2312"/>
                <w:sz w:val="28"/>
                <w:szCs w:val="28"/>
              </w:rPr>
            </w:pPr>
            <w:r>
              <w:rPr>
                <w:rFonts w:hint="eastAsia" w:ascii="仿宋_GB2312" w:hAnsi="仿宋_GB2312" w:eastAsia="仿宋_GB2312" w:cs="仿宋_GB2312"/>
                <w:sz w:val="24"/>
              </w:rPr>
              <w:t>条文编号</w:t>
            </w:r>
          </w:p>
        </w:tc>
        <w:tc>
          <w:tcPr>
            <w:tcW w:w="2132" w:type="dxa"/>
            <w:noWrap w:val="0"/>
            <w:vAlign w:val="center"/>
          </w:tcPr>
          <w:p>
            <w:pPr>
              <w:spacing w:before="156" w:beforeLines="50" w:line="360" w:lineRule="auto"/>
              <w:ind w:right="686" w:rightChars="312"/>
              <w:jc w:val="center"/>
              <w:rPr>
                <w:rFonts w:hint="eastAsia" w:ascii="仿宋_GB2312" w:hAnsi="仿宋_GB2312" w:eastAsia="仿宋_GB2312" w:cs="仿宋_GB2312"/>
                <w:sz w:val="24"/>
              </w:rPr>
            </w:pPr>
            <w:r>
              <w:rPr>
                <w:rFonts w:hint="eastAsia" w:ascii="仿宋_GB2312" w:hAnsi="仿宋_GB2312" w:eastAsia="仿宋_GB2312" w:cs="仿宋_GB2312"/>
                <w:sz w:val="24"/>
              </w:rPr>
              <w:t>原文内容</w:t>
            </w:r>
          </w:p>
        </w:tc>
        <w:tc>
          <w:tcPr>
            <w:tcW w:w="1964" w:type="dxa"/>
            <w:gridSpan w:val="2"/>
            <w:noWrap w:val="0"/>
            <w:vAlign w:val="center"/>
          </w:tcPr>
          <w:p>
            <w:pPr>
              <w:spacing w:before="156" w:beforeLines="50" w:line="360" w:lineRule="auto"/>
              <w:ind w:right="686" w:rightChars="312"/>
              <w:jc w:val="center"/>
              <w:rPr>
                <w:rFonts w:hint="eastAsia" w:ascii="仿宋_GB2312" w:hAnsi="仿宋_GB2312" w:eastAsia="仿宋_GB2312" w:cs="仿宋_GB2312"/>
                <w:sz w:val="24"/>
              </w:rPr>
            </w:pPr>
            <w:r>
              <w:rPr>
                <w:rFonts w:hint="eastAsia" w:ascii="仿宋_GB2312" w:hAnsi="仿宋_GB2312" w:eastAsia="仿宋_GB2312" w:cs="仿宋_GB2312"/>
                <w:sz w:val="24"/>
              </w:rPr>
              <w:t>意见内容</w:t>
            </w:r>
          </w:p>
        </w:tc>
        <w:tc>
          <w:tcPr>
            <w:tcW w:w="2300" w:type="dxa"/>
            <w:noWrap w:val="0"/>
            <w:vAlign w:val="center"/>
          </w:tcPr>
          <w:p>
            <w:pPr>
              <w:spacing w:before="156" w:beforeLines="50" w:line="360" w:lineRule="auto"/>
              <w:ind w:right="686" w:rightChars="312"/>
              <w:jc w:val="center"/>
              <w:rPr>
                <w:rFonts w:hint="eastAsia" w:ascii="仿宋_GB2312" w:hAnsi="仿宋_GB2312" w:eastAsia="仿宋_GB2312" w:cs="仿宋_GB2312"/>
                <w:sz w:val="24"/>
              </w:rPr>
            </w:pPr>
            <w:r>
              <w:rPr>
                <w:rFonts w:hint="eastAsia" w:ascii="仿宋_GB2312" w:hAnsi="仿宋_GB2312" w:eastAsia="仿宋_GB2312" w:cs="仿宋_GB2312"/>
                <w:sz w:val="24"/>
              </w:rPr>
              <w:t>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noWrap w:val="0"/>
            <w:vAlign w:val="center"/>
          </w:tcPr>
          <w:p>
            <w:pPr>
              <w:spacing w:before="156" w:beforeLines="50" w:line="360" w:lineRule="auto"/>
              <w:jc w:val="center"/>
              <w:rPr>
                <w:rFonts w:hint="eastAsia" w:ascii="仿宋_GB2312" w:hAnsi="仿宋_GB2312" w:eastAsia="仿宋_GB2312" w:cs="仿宋_GB2312"/>
                <w:sz w:val="28"/>
                <w:szCs w:val="28"/>
              </w:rPr>
            </w:pPr>
          </w:p>
        </w:tc>
        <w:tc>
          <w:tcPr>
            <w:tcW w:w="2132" w:type="dxa"/>
            <w:noWrap w:val="0"/>
            <w:vAlign w:val="center"/>
          </w:tcPr>
          <w:p>
            <w:pPr>
              <w:spacing w:before="156" w:beforeLines="50" w:line="360" w:lineRule="auto"/>
              <w:ind w:right="686" w:rightChars="312"/>
              <w:jc w:val="center"/>
              <w:rPr>
                <w:rFonts w:hint="eastAsia" w:ascii="仿宋_GB2312" w:hAnsi="仿宋_GB2312" w:eastAsia="仿宋_GB2312" w:cs="仿宋_GB2312"/>
                <w:sz w:val="24"/>
              </w:rPr>
            </w:pPr>
          </w:p>
        </w:tc>
        <w:tc>
          <w:tcPr>
            <w:tcW w:w="1964" w:type="dxa"/>
            <w:gridSpan w:val="2"/>
            <w:noWrap w:val="0"/>
            <w:vAlign w:val="center"/>
          </w:tcPr>
          <w:p>
            <w:pPr>
              <w:spacing w:before="156" w:beforeLines="50" w:line="360" w:lineRule="auto"/>
              <w:ind w:right="686" w:rightChars="312"/>
              <w:jc w:val="center"/>
              <w:rPr>
                <w:rFonts w:hint="eastAsia" w:ascii="仿宋_GB2312" w:hAnsi="仿宋_GB2312" w:eastAsia="仿宋_GB2312" w:cs="仿宋_GB2312"/>
                <w:sz w:val="24"/>
              </w:rPr>
            </w:pPr>
          </w:p>
        </w:tc>
        <w:tc>
          <w:tcPr>
            <w:tcW w:w="2300" w:type="dxa"/>
            <w:noWrap w:val="0"/>
            <w:vAlign w:val="center"/>
          </w:tcPr>
          <w:p>
            <w:pPr>
              <w:spacing w:before="156" w:beforeLines="50" w:line="360" w:lineRule="auto"/>
              <w:ind w:right="686" w:rightChars="312"/>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noWrap w:val="0"/>
            <w:vAlign w:val="center"/>
          </w:tcPr>
          <w:p>
            <w:pPr>
              <w:spacing w:before="156" w:beforeLines="50" w:line="360" w:lineRule="auto"/>
              <w:jc w:val="center"/>
              <w:rPr>
                <w:rFonts w:hint="eastAsia" w:ascii="仿宋_GB2312" w:hAnsi="仿宋_GB2312" w:eastAsia="仿宋_GB2312" w:cs="仿宋_GB2312"/>
                <w:sz w:val="28"/>
                <w:szCs w:val="28"/>
              </w:rPr>
            </w:pPr>
          </w:p>
        </w:tc>
        <w:tc>
          <w:tcPr>
            <w:tcW w:w="2132" w:type="dxa"/>
            <w:noWrap w:val="0"/>
            <w:vAlign w:val="center"/>
          </w:tcPr>
          <w:p>
            <w:pPr>
              <w:spacing w:before="156" w:beforeLines="50" w:line="360" w:lineRule="auto"/>
              <w:ind w:right="686" w:rightChars="312"/>
              <w:jc w:val="center"/>
              <w:rPr>
                <w:rFonts w:hint="eastAsia" w:ascii="仿宋_GB2312" w:hAnsi="仿宋_GB2312" w:eastAsia="仿宋_GB2312" w:cs="仿宋_GB2312"/>
                <w:sz w:val="24"/>
              </w:rPr>
            </w:pPr>
          </w:p>
        </w:tc>
        <w:tc>
          <w:tcPr>
            <w:tcW w:w="1964" w:type="dxa"/>
            <w:gridSpan w:val="2"/>
            <w:noWrap w:val="0"/>
            <w:vAlign w:val="center"/>
          </w:tcPr>
          <w:p>
            <w:pPr>
              <w:spacing w:before="156" w:beforeLines="50" w:line="360" w:lineRule="auto"/>
              <w:ind w:right="686" w:rightChars="312"/>
              <w:jc w:val="center"/>
              <w:rPr>
                <w:rFonts w:hint="eastAsia" w:ascii="仿宋_GB2312" w:hAnsi="仿宋_GB2312" w:eastAsia="仿宋_GB2312" w:cs="仿宋_GB2312"/>
                <w:sz w:val="24"/>
              </w:rPr>
            </w:pPr>
          </w:p>
        </w:tc>
        <w:tc>
          <w:tcPr>
            <w:tcW w:w="2300" w:type="dxa"/>
            <w:noWrap w:val="0"/>
            <w:vAlign w:val="center"/>
          </w:tcPr>
          <w:p>
            <w:pPr>
              <w:spacing w:before="156" w:beforeLines="50" w:line="360" w:lineRule="auto"/>
              <w:ind w:right="686" w:rightChars="312"/>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noWrap w:val="0"/>
            <w:vAlign w:val="center"/>
          </w:tcPr>
          <w:p>
            <w:pPr>
              <w:spacing w:before="156" w:beforeLines="50" w:line="360" w:lineRule="auto"/>
              <w:jc w:val="center"/>
              <w:rPr>
                <w:rFonts w:hint="eastAsia" w:ascii="仿宋_GB2312" w:hAnsi="仿宋_GB2312" w:eastAsia="仿宋_GB2312" w:cs="仿宋_GB2312"/>
                <w:sz w:val="28"/>
                <w:szCs w:val="28"/>
              </w:rPr>
            </w:pPr>
          </w:p>
        </w:tc>
        <w:tc>
          <w:tcPr>
            <w:tcW w:w="2132" w:type="dxa"/>
            <w:noWrap w:val="0"/>
            <w:vAlign w:val="center"/>
          </w:tcPr>
          <w:p>
            <w:pPr>
              <w:spacing w:before="156" w:beforeLines="50" w:line="360" w:lineRule="auto"/>
              <w:ind w:right="686" w:rightChars="312"/>
              <w:jc w:val="center"/>
              <w:rPr>
                <w:rFonts w:hint="eastAsia" w:ascii="仿宋_GB2312" w:hAnsi="仿宋_GB2312" w:eastAsia="仿宋_GB2312" w:cs="仿宋_GB2312"/>
                <w:sz w:val="24"/>
              </w:rPr>
            </w:pPr>
          </w:p>
        </w:tc>
        <w:tc>
          <w:tcPr>
            <w:tcW w:w="1964" w:type="dxa"/>
            <w:gridSpan w:val="2"/>
            <w:noWrap w:val="0"/>
            <w:vAlign w:val="center"/>
          </w:tcPr>
          <w:p>
            <w:pPr>
              <w:spacing w:before="156" w:beforeLines="50" w:line="360" w:lineRule="auto"/>
              <w:ind w:right="686" w:rightChars="312"/>
              <w:jc w:val="center"/>
              <w:rPr>
                <w:rFonts w:hint="eastAsia" w:ascii="仿宋_GB2312" w:hAnsi="仿宋_GB2312" w:eastAsia="仿宋_GB2312" w:cs="仿宋_GB2312"/>
                <w:sz w:val="24"/>
              </w:rPr>
            </w:pPr>
          </w:p>
        </w:tc>
        <w:tc>
          <w:tcPr>
            <w:tcW w:w="2300" w:type="dxa"/>
            <w:noWrap w:val="0"/>
            <w:vAlign w:val="center"/>
          </w:tcPr>
          <w:p>
            <w:pPr>
              <w:spacing w:before="156" w:beforeLines="50" w:line="360" w:lineRule="auto"/>
              <w:ind w:right="686" w:rightChars="312"/>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noWrap w:val="0"/>
            <w:vAlign w:val="center"/>
          </w:tcPr>
          <w:p>
            <w:pPr>
              <w:spacing w:before="156" w:beforeLines="50" w:line="360" w:lineRule="auto"/>
              <w:jc w:val="center"/>
              <w:rPr>
                <w:rFonts w:hint="eastAsia" w:ascii="仿宋_GB2312" w:hAnsi="仿宋_GB2312" w:eastAsia="仿宋_GB2312" w:cs="仿宋_GB2312"/>
                <w:sz w:val="28"/>
                <w:szCs w:val="28"/>
              </w:rPr>
            </w:pPr>
          </w:p>
        </w:tc>
        <w:tc>
          <w:tcPr>
            <w:tcW w:w="2132" w:type="dxa"/>
            <w:noWrap w:val="0"/>
            <w:vAlign w:val="center"/>
          </w:tcPr>
          <w:p>
            <w:pPr>
              <w:spacing w:before="156" w:beforeLines="50" w:line="360" w:lineRule="auto"/>
              <w:ind w:right="686" w:rightChars="312"/>
              <w:jc w:val="center"/>
              <w:rPr>
                <w:rFonts w:hint="eastAsia" w:ascii="仿宋_GB2312" w:hAnsi="仿宋_GB2312" w:eastAsia="仿宋_GB2312" w:cs="仿宋_GB2312"/>
                <w:sz w:val="24"/>
              </w:rPr>
            </w:pPr>
          </w:p>
        </w:tc>
        <w:tc>
          <w:tcPr>
            <w:tcW w:w="1964" w:type="dxa"/>
            <w:gridSpan w:val="2"/>
            <w:noWrap w:val="0"/>
            <w:vAlign w:val="center"/>
          </w:tcPr>
          <w:p>
            <w:pPr>
              <w:spacing w:before="156" w:beforeLines="50" w:line="360" w:lineRule="auto"/>
              <w:ind w:right="686" w:rightChars="312"/>
              <w:jc w:val="center"/>
              <w:rPr>
                <w:rFonts w:hint="eastAsia" w:ascii="仿宋_GB2312" w:hAnsi="仿宋_GB2312" w:eastAsia="仿宋_GB2312" w:cs="仿宋_GB2312"/>
                <w:sz w:val="24"/>
              </w:rPr>
            </w:pPr>
          </w:p>
        </w:tc>
        <w:tc>
          <w:tcPr>
            <w:tcW w:w="2300" w:type="dxa"/>
            <w:noWrap w:val="0"/>
            <w:vAlign w:val="center"/>
          </w:tcPr>
          <w:p>
            <w:pPr>
              <w:spacing w:before="156" w:beforeLines="50" w:line="360" w:lineRule="auto"/>
              <w:ind w:right="686" w:rightChars="312"/>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noWrap w:val="0"/>
            <w:vAlign w:val="center"/>
          </w:tcPr>
          <w:p>
            <w:pPr>
              <w:spacing w:before="156" w:beforeLines="50" w:line="360" w:lineRule="auto"/>
              <w:jc w:val="center"/>
              <w:rPr>
                <w:rFonts w:hint="eastAsia" w:ascii="仿宋_GB2312" w:hAnsi="仿宋_GB2312" w:eastAsia="仿宋_GB2312" w:cs="仿宋_GB2312"/>
                <w:sz w:val="28"/>
                <w:szCs w:val="28"/>
              </w:rPr>
            </w:pPr>
          </w:p>
        </w:tc>
        <w:tc>
          <w:tcPr>
            <w:tcW w:w="2132" w:type="dxa"/>
            <w:noWrap w:val="0"/>
            <w:vAlign w:val="center"/>
          </w:tcPr>
          <w:p>
            <w:pPr>
              <w:spacing w:before="156" w:beforeLines="50" w:line="360" w:lineRule="auto"/>
              <w:ind w:right="686" w:rightChars="312"/>
              <w:jc w:val="center"/>
              <w:rPr>
                <w:rFonts w:hint="eastAsia" w:ascii="仿宋_GB2312" w:hAnsi="仿宋_GB2312" w:eastAsia="仿宋_GB2312" w:cs="仿宋_GB2312"/>
                <w:sz w:val="24"/>
              </w:rPr>
            </w:pPr>
          </w:p>
        </w:tc>
        <w:tc>
          <w:tcPr>
            <w:tcW w:w="1964" w:type="dxa"/>
            <w:gridSpan w:val="2"/>
            <w:noWrap w:val="0"/>
            <w:vAlign w:val="center"/>
          </w:tcPr>
          <w:p>
            <w:pPr>
              <w:spacing w:before="156" w:beforeLines="50" w:line="360" w:lineRule="auto"/>
              <w:ind w:right="686" w:rightChars="312"/>
              <w:jc w:val="center"/>
              <w:rPr>
                <w:rFonts w:hint="eastAsia" w:ascii="仿宋_GB2312" w:hAnsi="仿宋_GB2312" w:eastAsia="仿宋_GB2312" w:cs="仿宋_GB2312"/>
                <w:sz w:val="24"/>
              </w:rPr>
            </w:pPr>
          </w:p>
        </w:tc>
        <w:tc>
          <w:tcPr>
            <w:tcW w:w="2300" w:type="dxa"/>
            <w:noWrap w:val="0"/>
            <w:vAlign w:val="center"/>
          </w:tcPr>
          <w:p>
            <w:pPr>
              <w:spacing w:before="156" w:beforeLines="50" w:line="360" w:lineRule="auto"/>
              <w:ind w:right="686" w:rightChars="312"/>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noWrap w:val="0"/>
            <w:vAlign w:val="center"/>
          </w:tcPr>
          <w:p>
            <w:pPr>
              <w:spacing w:before="156" w:beforeLines="50" w:line="360" w:lineRule="auto"/>
              <w:jc w:val="center"/>
              <w:rPr>
                <w:rFonts w:hint="eastAsia" w:ascii="仿宋_GB2312" w:hAnsi="仿宋_GB2312" w:eastAsia="仿宋_GB2312" w:cs="仿宋_GB2312"/>
                <w:sz w:val="28"/>
                <w:szCs w:val="28"/>
              </w:rPr>
            </w:pPr>
          </w:p>
        </w:tc>
        <w:tc>
          <w:tcPr>
            <w:tcW w:w="2132" w:type="dxa"/>
            <w:noWrap w:val="0"/>
            <w:vAlign w:val="center"/>
          </w:tcPr>
          <w:p>
            <w:pPr>
              <w:spacing w:before="156" w:beforeLines="50" w:line="360" w:lineRule="auto"/>
              <w:ind w:right="686" w:rightChars="312"/>
              <w:jc w:val="center"/>
              <w:rPr>
                <w:rFonts w:hint="eastAsia" w:ascii="仿宋_GB2312" w:hAnsi="仿宋_GB2312" w:eastAsia="仿宋_GB2312" w:cs="仿宋_GB2312"/>
                <w:sz w:val="24"/>
              </w:rPr>
            </w:pPr>
          </w:p>
        </w:tc>
        <w:tc>
          <w:tcPr>
            <w:tcW w:w="1964" w:type="dxa"/>
            <w:gridSpan w:val="2"/>
            <w:noWrap w:val="0"/>
            <w:vAlign w:val="center"/>
          </w:tcPr>
          <w:p>
            <w:pPr>
              <w:spacing w:before="156" w:beforeLines="50" w:line="360" w:lineRule="auto"/>
              <w:ind w:right="686" w:rightChars="312"/>
              <w:jc w:val="center"/>
              <w:rPr>
                <w:rFonts w:hint="eastAsia" w:ascii="仿宋_GB2312" w:hAnsi="仿宋_GB2312" w:eastAsia="仿宋_GB2312" w:cs="仿宋_GB2312"/>
                <w:sz w:val="24"/>
              </w:rPr>
            </w:pPr>
          </w:p>
        </w:tc>
        <w:tc>
          <w:tcPr>
            <w:tcW w:w="2300" w:type="dxa"/>
            <w:noWrap w:val="0"/>
            <w:vAlign w:val="center"/>
          </w:tcPr>
          <w:p>
            <w:pPr>
              <w:spacing w:before="156" w:beforeLines="50" w:line="360" w:lineRule="auto"/>
              <w:ind w:right="686" w:rightChars="312"/>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noWrap w:val="0"/>
            <w:vAlign w:val="center"/>
          </w:tcPr>
          <w:p>
            <w:pPr>
              <w:spacing w:before="156" w:beforeLines="50" w:line="360" w:lineRule="auto"/>
              <w:jc w:val="center"/>
              <w:rPr>
                <w:rFonts w:hint="eastAsia" w:ascii="仿宋_GB2312" w:hAnsi="仿宋_GB2312" w:eastAsia="仿宋_GB2312" w:cs="仿宋_GB2312"/>
                <w:sz w:val="28"/>
                <w:szCs w:val="28"/>
              </w:rPr>
            </w:pPr>
          </w:p>
        </w:tc>
        <w:tc>
          <w:tcPr>
            <w:tcW w:w="2132" w:type="dxa"/>
            <w:noWrap w:val="0"/>
            <w:vAlign w:val="center"/>
          </w:tcPr>
          <w:p>
            <w:pPr>
              <w:spacing w:before="156" w:beforeLines="50" w:line="360" w:lineRule="auto"/>
              <w:ind w:right="686" w:rightChars="312"/>
              <w:jc w:val="center"/>
              <w:rPr>
                <w:rFonts w:hint="eastAsia" w:ascii="仿宋_GB2312" w:hAnsi="仿宋_GB2312" w:eastAsia="仿宋_GB2312" w:cs="仿宋_GB2312"/>
                <w:sz w:val="24"/>
              </w:rPr>
            </w:pPr>
          </w:p>
        </w:tc>
        <w:tc>
          <w:tcPr>
            <w:tcW w:w="1964" w:type="dxa"/>
            <w:gridSpan w:val="2"/>
            <w:noWrap w:val="0"/>
            <w:vAlign w:val="center"/>
          </w:tcPr>
          <w:p>
            <w:pPr>
              <w:spacing w:before="156" w:beforeLines="50" w:line="360" w:lineRule="auto"/>
              <w:ind w:right="686" w:rightChars="312"/>
              <w:jc w:val="center"/>
              <w:rPr>
                <w:rFonts w:hint="eastAsia" w:ascii="仿宋_GB2312" w:hAnsi="仿宋_GB2312" w:eastAsia="仿宋_GB2312" w:cs="仿宋_GB2312"/>
                <w:sz w:val="24"/>
              </w:rPr>
            </w:pPr>
          </w:p>
        </w:tc>
        <w:tc>
          <w:tcPr>
            <w:tcW w:w="2300" w:type="dxa"/>
            <w:noWrap w:val="0"/>
            <w:vAlign w:val="center"/>
          </w:tcPr>
          <w:p>
            <w:pPr>
              <w:spacing w:before="156" w:beforeLines="50" w:line="360" w:lineRule="auto"/>
              <w:ind w:right="686" w:rightChars="312"/>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noWrap w:val="0"/>
            <w:vAlign w:val="center"/>
          </w:tcPr>
          <w:p>
            <w:pPr>
              <w:spacing w:before="156" w:beforeLines="50" w:line="360" w:lineRule="auto"/>
              <w:jc w:val="center"/>
              <w:rPr>
                <w:rFonts w:hint="eastAsia" w:ascii="仿宋_GB2312" w:hAnsi="仿宋_GB2312" w:eastAsia="仿宋_GB2312" w:cs="仿宋_GB2312"/>
                <w:sz w:val="28"/>
                <w:szCs w:val="28"/>
              </w:rPr>
            </w:pPr>
          </w:p>
        </w:tc>
        <w:tc>
          <w:tcPr>
            <w:tcW w:w="2132" w:type="dxa"/>
            <w:noWrap w:val="0"/>
            <w:vAlign w:val="center"/>
          </w:tcPr>
          <w:p>
            <w:pPr>
              <w:spacing w:before="156" w:beforeLines="50" w:line="360" w:lineRule="auto"/>
              <w:ind w:right="686" w:rightChars="312"/>
              <w:jc w:val="center"/>
              <w:rPr>
                <w:rFonts w:hint="eastAsia" w:ascii="仿宋_GB2312" w:hAnsi="仿宋_GB2312" w:eastAsia="仿宋_GB2312" w:cs="仿宋_GB2312"/>
                <w:sz w:val="24"/>
              </w:rPr>
            </w:pPr>
          </w:p>
        </w:tc>
        <w:tc>
          <w:tcPr>
            <w:tcW w:w="1964" w:type="dxa"/>
            <w:gridSpan w:val="2"/>
            <w:noWrap w:val="0"/>
            <w:vAlign w:val="center"/>
          </w:tcPr>
          <w:p>
            <w:pPr>
              <w:spacing w:before="156" w:beforeLines="50" w:line="360" w:lineRule="auto"/>
              <w:ind w:right="686" w:rightChars="312"/>
              <w:jc w:val="center"/>
              <w:rPr>
                <w:rFonts w:hint="eastAsia" w:ascii="仿宋_GB2312" w:hAnsi="仿宋_GB2312" w:eastAsia="仿宋_GB2312" w:cs="仿宋_GB2312"/>
                <w:sz w:val="24"/>
              </w:rPr>
            </w:pPr>
          </w:p>
        </w:tc>
        <w:tc>
          <w:tcPr>
            <w:tcW w:w="2300" w:type="dxa"/>
            <w:noWrap w:val="0"/>
            <w:vAlign w:val="center"/>
          </w:tcPr>
          <w:p>
            <w:pPr>
              <w:spacing w:before="156" w:beforeLines="50" w:line="360" w:lineRule="auto"/>
              <w:ind w:right="686" w:rightChars="312"/>
              <w:jc w:val="center"/>
              <w:rPr>
                <w:rFonts w:hint="eastAsia" w:ascii="仿宋_GB2312" w:hAnsi="仿宋_GB2312" w:eastAsia="仿宋_GB2312" w:cs="仿宋_GB2312"/>
                <w:sz w:val="24"/>
              </w:rPr>
            </w:pPr>
          </w:p>
        </w:tc>
      </w:tr>
    </w:tbl>
    <w:p>
      <w:pPr>
        <w:pStyle w:val="2"/>
        <w:rPr>
          <w:rFonts w:hint="eastAsia" w:ascii="仿宋_GB2312" w:hAnsi="仿宋_GB2312" w:eastAsia="仿宋_GB2312" w:cs="仿宋_GB2312"/>
          <w:sz w:val="20"/>
        </w:rPr>
      </w:pPr>
      <w:r>
        <w:rPr>
          <w:rFonts w:hint="eastAsia" w:ascii="仿宋_GB2312" w:hAnsi="仿宋_GB2312" w:eastAsia="仿宋_GB2312" w:cs="仿宋_GB2312"/>
          <w:sz w:val="24"/>
        </w:rPr>
        <w:t>（纸面不敷，可另增页）</w:t>
      </w:r>
    </w:p>
    <w:p>
      <w:pPr>
        <w:pStyle w:val="2"/>
        <w:rPr>
          <w:rFonts w:hint="eastAsia" w:ascii="仿宋_GB2312" w:hAnsi="仿宋_GB2312" w:eastAsia="仿宋_GB2312" w:cs="仿宋_GB2312"/>
          <w:sz w:val="20"/>
        </w:rPr>
      </w:pPr>
    </w:p>
    <w:sectPr>
      <w:footerReference r:id="rId5" w:type="default"/>
      <w:footerReference r:id="rId6" w:type="even"/>
      <w:pgSz w:w="11910" w:h="16840"/>
      <w:pgMar w:top="2098" w:right="1474" w:bottom="1474" w:left="1587" w:header="0" w:footer="129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3079" o:spid="_x0000_s3079" o:spt="202" type="#_x0000_t202" style="position:absolute;left:0pt;margin-left:677.9pt;margin-top:521.45pt;height:18.7pt;width:44.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353" w:lineRule="exact"/>
                  <w:ind w:left="20" w:right="0" w:firstLine="0"/>
                  <w:jc w:val="left"/>
                  <w:rPr>
                    <w:sz w:val="28"/>
                  </w:rPr>
                </w:pPr>
                <w:r>
                  <w:rPr>
                    <w:sz w:val="28"/>
                  </w:rPr>
                  <w:t>—</w:t>
                </w:r>
                <w:r>
                  <w:fldChar w:fldCharType="begin"/>
                </w:r>
                <w:r>
                  <w:rPr>
                    <w:sz w:val="28"/>
                  </w:rPr>
                  <w:instrText xml:space="preserve"> PAGE </w:instrText>
                </w:r>
                <w:r>
                  <w:fldChar w:fldCharType="separate"/>
                </w:r>
                <w:r>
                  <w:t>21</w:t>
                </w:r>
                <w:r>
                  <w:fldChar w:fldCharType="end"/>
                </w:r>
                <w:r>
                  <w:rPr>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3081" o:spid="_x0000_s3081" o:spt="202" type="#_x0000_t202" style="position:absolute;left:0pt;margin-left:94.35pt;margin-top:761.9pt;height:18.5pt;width:44.0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349" w:lineRule="exact"/>
                  <w:ind w:left="20" w:right="0" w:firstLine="0"/>
                  <w:jc w:val="left"/>
                  <w:rPr>
                    <w:rFonts w:ascii="新宋体" w:hAnsi="新宋体"/>
                    <w:sz w:val="28"/>
                  </w:rPr>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ZDg2Y2Y4YmRmYmUwMTIwY2U4ZDkxZDc4OGY0ZDQ0OTIifQ=="/>
  </w:docVars>
  <w:rsids>
    <w:rsidRoot w:val="00000000"/>
    <w:rsid w:val="005659EA"/>
    <w:rsid w:val="006355B8"/>
    <w:rsid w:val="00C65946"/>
    <w:rsid w:val="02206004"/>
    <w:rsid w:val="023233DD"/>
    <w:rsid w:val="02444744"/>
    <w:rsid w:val="02635634"/>
    <w:rsid w:val="027E4FEB"/>
    <w:rsid w:val="02DE7C7D"/>
    <w:rsid w:val="046F55A1"/>
    <w:rsid w:val="049A66D9"/>
    <w:rsid w:val="04E7015A"/>
    <w:rsid w:val="059B06E6"/>
    <w:rsid w:val="05B977B2"/>
    <w:rsid w:val="063933B9"/>
    <w:rsid w:val="06790C38"/>
    <w:rsid w:val="068A52EB"/>
    <w:rsid w:val="06BB0777"/>
    <w:rsid w:val="07911E6D"/>
    <w:rsid w:val="07E542B4"/>
    <w:rsid w:val="08981967"/>
    <w:rsid w:val="0B331D6B"/>
    <w:rsid w:val="0B46406A"/>
    <w:rsid w:val="0B5C270C"/>
    <w:rsid w:val="0B8A6552"/>
    <w:rsid w:val="0BAA2DA1"/>
    <w:rsid w:val="0C1471B4"/>
    <w:rsid w:val="0DCF0193"/>
    <w:rsid w:val="0E4E7B1F"/>
    <w:rsid w:val="0E72396F"/>
    <w:rsid w:val="0F0830B8"/>
    <w:rsid w:val="0F160016"/>
    <w:rsid w:val="0F2E5842"/>
    <w:rsid w:val="0F366897"/>
    <w:rsid w:val="0F762B27"/>
    <w:rsid w:val="106D346F"/>
    <w:rsid w:val="10C53AD6"/>
    <w:rsid w:val="128E4CD8"/>
    <w:rsid w:val="12B0141E"/>
    <w:rsid w:val="14320311"/>
    <w:rsid w:val="14990AE5"/>
    <w:rsid w:val="17887A7C"/>
    <w:rsid w:val="18A63CF3"/>
    <w:rsid w:val="19990BAE"/>
    <w:rsid w:val="19F40353"/>
    <w:rsid w:val="1A123518"/>
    <w:rsid w:val="1A670167"/>
    <w:rsid w:val="1AD67341"/>
    <w:rsid w:val="1B2F2B4A"/>
    <w:rsid w:val="1C026332"/>
    <w:rsid w:val="1C34740D"/>
    <w:rsid w:val="1CC5274E"/>
    <w:rsid w:val="1CCD4C3D"/>
    <w:rsid w:val="1D7A669A"/>
    <w:rsid w:val="1EEF06F1"/>
    <w:rsid w:val="1F112D99"/>
    <w:rsid w:val="1F240833"/>
    <w:rsid w:val="1F2C054F"/>
    <w:rsid w:val="20E828B9"/>
    <w:rsid w:val="21C26A8B"/>
    <w:rsid w:val="23EC2644"/>
    <w:rsid w:val="24081153"/>
    <w:rsid w:val="243342AB"/>
    <w:rsid w:val="25304989"/>
    <w:rsid w:val="264F7D72"/>
    <w:rsid w:val="26B56E44"/>
    <w:rsid w:val="281F56A3"/>
    <w:rsid w:val="28DE4B8E"/>
    <w:rsid w:val="29263B35"/>
    <w:rsid w:val="29C24871"/>
    <w:rsid w:val="2AD92B6F"/>
    <w:rsid w:val="2AE25C84"/>
    <w:rsid w:val="2B2D1A9B"/>
    <w:rsid w:val="2D5B74C5"/>
    <w:rsid w:val="2DBE0FE3"/>
    <w:rsid w:val="2DC4273E"/>
    <w:rsid w:val="30766328"/>
    <w:rsid w:val="31AA3A4C"/>
    <w:rsid w:val="31FF4845"/>
    <w:rsid w:val="32081D11"/>
    <w:rsid w:val="3212734D"/>
    <w:rsid w:val="33DF51EF"/>
    <w:rsid w:val="33ED2164"/>
    <w:rsid w:val="34D46A5A"/>
    <w:rsid w:val="35092D60"/>
    <w:rsid w:val="38136D1B"/>
    <w:rsid w:val="38DD6592"/>
    <w:rsid w:val="398B2876"/>
    <w:rsid w:val="3A24132F"/>
    <w:rsid w:val="3A3E2555"/>
    <w:rsid w:val="3A8A228C"/>
    <w:rsid w:val="3AF32B9D"/>
    <w:rsid w:val="3CF77608"/>
    <w:rsid w:val="3D3630FE"/>
    <w:rsid w:val="3D753DDA"/>
    <w:rsid w:val="3D7C47FE"/>
    <w:rsid w:val="3ED5454D"/>
    <w:rsid w:val="3F0063A6"/>
    <w:rsid w:val="3FBF4B75"/>
    <w:rsid w:val="401F2EA1"/>
    <w:rsid w:val="43FB1735"/>
    <w:rsid w:val="449B61DD"/>
    <w:rsid w:val="45A55DFD"/>
    <w:rsid w:val="468847B5"/>
    <w:rsid w:val="49133FB2"/>
    <w:rsid w:val="495111D5"/>
    <w:rsid w:val="4A822E21"/>
    <w:rsid w:val="4AEA1A68"/>
    <w:rsid w:val="4B9D45B5"/>
    <w:rsid w:val="4CA4430D"/>
    <w:rsid w:val="4E392004"/>
    <w:rsid w:val="4F253B0A"/>
    <w:rsid w:val="4F42406B"/>
    <w:rsid w:val="4F5D38CD"/>
    <w:rsid w:val="4FFF7718"/>
    <w:rsid w:val="524D13AE"/>
    <w:rsid w:val="52825A68"/>
    <w:rsid w:val="536517D0"/>
    <w:rsid w:val="5478186D"/>
    <w:rsid w:val="560462BB"/>
    <w:rsid w:val="564B138A"/>
    <w:rsid w:val="569B7CAC"/>
    <w:rsid w:val="56A63C69"/>
    <w:rsid w:val="57D2713E"/>
    <w:rsid w:val="58284F97"/>
    <w:rsid w:val="59EC1DA6"/>
    <w:rsid w:val="5A7A304B"/>
    <w:rsid w:val="5C9C796E"/>
    <w:rsid w:val="5D771279"/>
    <w:rsid w:val="5DAD3649"/>
    <w:rsid w:val="5DF87691"/>
    <w:rsid w:val="5DFD05EA"/>
    <w:rsid w:val="5F6B634F"/>
    <w:rsid w:val="5FC770AF"/>
    <w:rsid w:val="6144526A"/>
    <w:rsid w:val="618B5A4F"/>
    <w:rsid w:val="61DC053E"/>
    <w:rsid w:val="61F054F4"/>
    <w:rsid w:val="62B22DA4"/>
    <w:rsid w:val="63E82984"/>
    <w:rsid w:val="64281C7B"/>
    <w:rsid w:val="64F45CC6"/>
    <w:rsid w:val="687234C5"/>
    <w:rsid w:val="6881785C"/>
    <w:rsid w:val="6A4D444B"/>
    <w:rsid w:val="6A62145A"/>
    <w:rsid w:val="6AAD6A66"/>
    <w:rsid w:val="6AD50982"/>
    <w:rsid w:val="6EF870FE"/>
    <w:rsid w:val="70A84C45"/>
    <w:rsid w:val="7151144D"/>
    <w:rsid w:val="7176600B"/>
    <w:rsid w:val="71DA64F8"/>
    <w:rsid w:val="723A1DC5"/>
    <w:rsid w:val="7349124F"/>
    <w:rsid w:val="742E0E6D"/>
    <w:rsid w:val="75837B7C"/>
    <w:rsid w:val="759B1B2A"/>
    <w:rsid w:val="75D03F20"/>
    <w:rsid w:val="76836A44"/>
    <w:rsid w:val="771E711A"/>
    <w:rsid w:val="775B3184"/>
    <w:rsid w:val="775F4855"/>
    <w:rsid w:val="77971B37"/>
    <w:rsid w:val="77B5027D"/>
    <w:rsid w:val="785720B9"/>
    <w:rsid w:val="78653EBF"/>
    <w:rsid w:val="796E1A86"/>
    <w:rsid w:val="7A3E3B4E"/>
    <w:rsid w:val="7A8628B0"/>
    <w:rsid w:val="7AB94F19"/>
    <w:rsid w:val="7B9115F6"/>
    <w:rsid w:val="7C457A3D"/>
    <w:rsid w:val="7C5E0956"/>
    <w:rsid w:val="7D1648D8"/>
    <w:rsid w:val="7E7A219E"/>
    <w:rsid w:val="7E8002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3">
    <w:name w:val="heading 1"/>
    <w:basedOn w:val="1"/>
    <w:next w:val="1"/>
    <w:qFormat/>
    <w:uiPriority w:val="1"/>
    <w:pPr>
      <w:ind w:left="171"/>
      <w:outlineLvl w:val="1"/>
    </w:pPr>
    <w:rPr>
      <w:rFonts w:ascii="方正小标宋简体" w:hAnsi="方正小标宋简体" w:eastAsia="方正小标宋简体" w:cs="方正小标宋简体"/>
      <w:sz w:val="44"/>
      <w:szCs w:val="44"/>
      <w:lang w:val="zh-CN" w:eastAsia="zh-CN" w:bidi="zh-CN"/>
    </w:rPr>
  </w:style>
  <w:style w:type="character" w:default="1" w:styleId="12">
    <w:name w:val="Default Paragraph Font"/>
    <w:semiHidden/>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240" w:lineRule="auto"/>
      <w:ind w:firstLine="420" w:firstLineChars="200"/>
    </w:pPr>
    <w:rPr>
      <w:rFonts w:ascii="Times New Roman" w:hAnsi="Times New Roman" w:eastAsia="宋体" w:cs="Times New Roman"/>
      <w:sz w:val="21"/>
      <w:szCs w:val="24"/>
    </w:rPr>
  </w:style>
  <w:style w:type="paragraph" w:styleId="4">
    <w:name w:val="Body Text"/>
    <w:basedOn w:val="1"/>
    <w:next w:val="1"/>
    <w:qFormat/>
    <w:uiPriority w:val="1"/>
    <w:rPr>
      <w:rFonts w:ascii="仿宋_GB2312" w:hAnsi="仿宋_GB2312" w:eastAsia="仿宋_GB2312" w:cs="仿宋_GB2312"/>
      <w:sz w:val="32"/>
      <w:szCs w:val="32"/>
      <w:lang w:val="zh-CN" w:eastAsia="zh-CN" w:bidi="zh-CN"/>
    </w:rPr>
  </w:style>
  <w:style w:type="paragraph" w:styleId="5">
    <w:name w:val="Body Text Indent"/>
    <w:basedOn w:val="1"/>
    <w:next w:val="6"/>
    <w:qFormat/>
    <w:uiPriority w:val="99"/>
    <w:pPr>
      <w:spacing w:after="120"/>
      <w:ind w:left="420" w:leftChars="200"/>
    </w:pPr>
  </w:style>
  <w:style w:type="paragraph" w:styleId="6">
    <w:name w:val="Body Text First Indent 2"/>
    <w:basedOn w:val="5"/>
    <w:qFormat/>
    <w:uiPriority w:val="99"/>
    <w:pPr>
      <w:spacing w:after="0"/>
      <w:ind w:firstLine="420" w:firstLine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paragraph" w:customStyle="1" w:styleId="14">
    <w:name w:val="Body Text Indent 21"/>
    <w:basedOn w:val="1"/>
    <w:qFormat/>
    <w:uiPriority w:val="0"/>
    <w:pPr>
      <w:spacing w:line="480" w:lineRule="auto"/>
      <w:ind w:left="200" w:leftChars="200"/>
    </w:p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rPr>
      <w:lang w:val="zh-CN" w:eastAsia="zh-CN" w:bidi="zh-CN"/>
    </w:rPr>
  </w:style>
  <w:style w:type="paragraph" w:customStyle="1" w:styleId="17">
    <w:name w:val="Table Paragraph"/>
    <w:basedOn w:val="1"/>
    <w:qFormat/>
    <w:uiPriority w:val="1"/>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9"/>
    <customShpInfo spid="_x0000_s308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17707</Words>
  <Characters>18023</Characters>
  <TotalTime>10</TotalTime>
  <ScaleCrop>false</ScaleCrop>
  <LinksUpToDate>false</LinksUpToDate>
  <CharactersWithSpaces>18129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2023-04-12T01:00:00Z</dcterms:created>
  <dc:creator>张掖市人民政府办公室</dc:creator>
  <cp:lastModifiedBy>你猜</cp:lastModifiedBy>
  <cp:lastPrinted>2023-10-17T08:07:00Z</cp:lastPrinted>
  <dcterms:modified xsi:type="dcterms:W3CDTF">2023-11-28T03:29:37Z</dcterms:modified>
  <dc:title>张政党组报〔2021〕30号                  签发人：赵立香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2023-04-10T00:00:00Z</vt:filetime>
  </property>
  <property fmtid="{D5CDD505-2E9C-101B-9397-08002B2CF9AE}" pid="3" name="Creator">
    <vt:lpwstr>WPS 文字</vt:lpwstr>
  </property>
  <property fmtid="{D5CDD505-2E9C-101B-9397-08002B2CF9AE}" pid="4" name="LastSaved">
    <vt:filetime>2023-04-12T00:00:00Z</vt:filetime>
  </property>
  <property fmtid="{D5CDD505-2E9C-101B-9397-08002B2CF9AE}" pid="5" name="KSOProductBuildVer">
    <vt:lpwstr>2052-12.1.0.15712</vt:lpwstr>
  </property>
  <property fmtid="{D5CDD505-2E9C-101B-9397-08002B2CF9AE}" pid="6" name="ICV">
    <vt:lpwstr>85920B1DCE04496FA61F001B91335F21</vt:lpwstr>
  </property>
</Properties>
</file>