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Cs w:val="32"/>
        </w:rPr>
      </w:pPr>
      <w:r>
        <w:rPr>
          <w:rFonts w:hint="eastAsia" w:ascii="黑体" w:hAnsi="黑体" w:eastAsia="黑体" w:cs="黑体"/>
          <w:szCs w:val="32"/>
        </w:rPr>
        <w:softHyphen/>
      </w:r>
      <w:r>
        <w:rPr>
          <w:rFonts w:hint="eastAsia" w:ascii="黑体" w:hAnsi="黑体" w:eastAsia="黑体" w:cs="黑体"/>
          <w:szCs w:val="32"/>
        </w:rPr>
        <w:t>附8：</w:t>
      </w:r>
    </w:p>
    <w:p>
      <w:pPr>
        <w:widowControl/>
        <w:adjustRightInd/>
        <w:snapToGrid/>
        <w:spacing w:line="560" w:lineRule="exact"/>
        <w:jc w:val="center"/>
        <w:rPr>
          <w:rFonts w:ascii="方正小标宋简体" w:hAnsi="方正小标宋简体" w:eastAsia="方正小标宋简体" w:cs="方正小标宋简体"/>
          <w:kern w:val="0"/>
          <w:sz w:val="44"/>
          <w:szCs w:val="44"/>
        </w:rPr>
      </w:pPr>
    </w:p>
    <w:p>
      <w:pPr>
        <w:widowControl/>
        <w:adjustRightInd/>
        <w:snapToGrid/>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甘肃省基层就业国家助学贷款学费代偿</w:t>
      </w:r>
      <w:bookmarkStart w:id="0" w:name="_GoBack"/>
      <w:bookmarkEnd w:id="0"/>
    </w:p>
    <w:p>
      <w:pPr>
        <w:widowControl/>
        <w:adjustRightInd/>
        <w:snapToGrid/>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实施细则</w:t>
      </w:r>
    </w:p>
    <w:p>
      <w:pPr>
        <w:adjustRightInd/>
        <w:snapToGrid/>
        <w:spacing w:line="560" w:lineRule="exact"/>
        <w:ind w:firstLine="643" w:firstLineChars="200"/>
        <w:textAlignment w:val="center"/>
        <w:rPr>
          <w:rFonts w:hAnsi="仿宋"/>
          <w:szCs w:val="32"/>
        </w:rPr>
      </w:pPr>
      <w:r>
        <w:rPr>
          <w:rFonts w:hint="eastAsia" w:hAnsi="仿宋"/>
          <w:b/>
          <w:bCs/>
          <w:szCs w:val="32"/>
        </w:rPr>
        <w:t>第一条</w:t>
      </w:r>
      <w:r>
        <w:rPr>
          <w:rFonts w:hint="eastAsia"/>
          <w:szCs w:val="32"/>
        </w:rPr>
        <w:t xml:space="preserve"> </w:t>
      </w:r>
      <w:r>
        <w:rPr>
          <w:rFonts w:hint="eastAsia" w:hAnsi="仿宋"/>
          <w:szCs w:val="32"/>
        </w:rPr>
        <w:t>为促进我省高校毕业生到艰苦边远地区基层单位服务，对其在高校学习期间申请获得的国家助学贷款（生源地信用助学贷款）缴纳的学费进行代偿资助。</w:t>
      </w:r>
    </w:p>
    <w:p>
      <w:pPr>
        <w:adjustRightInd/>
        <w:snapToGrid/>
        <w:spacing w:line="560" w:lineRule="exact"/>
        <w:ind w:firstLine="643" w:firstLineChars="200"/>
        <w:textAlignment w:val="center"/>
        <w:rPr>
          <w:rFonts w:hAnsi="仿宋"/>
          <w:szCs w:val="32"/>
        </w:rPr>
      </w:pPr>
      <w:r>
        <w:rPr>
          <w:rFonts w:hint="eastAsia" w:hAnsi="仿宋"/>
          <w:b/>
          <w:bCs/>
          <w:szCs w:val="32"/>
        </w:rPr>
        <w:t>第二条</w:t>
      </w:r>
      <w:r>
        <w:rPr>
          <w:rFonts w:hint="eastAsia"/>
          <w:szCs w:val="32"/>
        </w:rPr>
        <w:t xml:space="preserve"> </w:t>
      </w:r>
      <w:r>
        <w:rPr>
          <w:rFonts w:hint="eastAsia" w:hAnsi="仿宋"/>
          <w:szCs w:val="32"/>
        </w:rPr>
        <w:t>本细则所称高校毕业生是指我省普通高等学校的全日制本科生及以上学历应届毕业生（到甘南藏族自治州就业的毕业生条件可放宽到专科生）。定向、委培以及在校学习期间已享受免除学费政策的学生除外。</w:t>
      </w:r>
    </w:p>
    <w:p>
      <w:pPr>
        <w:adjustRightInd/>
        <w:snapToGrid/>
        <w:spacing w:line="560" w:lineRule="exact"/>
        <w:ind w:firstLine="643" w:firstLineChars="200"/>
        <w:textAlignment w:val="center"/>
        <w:rPr>
          <w:rFonts w:hAnsi="仿宋"/>
          <w:szCs w:val="32"/>
        </w:rPr>
      </w:pPr>
      <w:r>
        <w:rPr>
          <w:rFonts w:hint="eastAsia" w:hAnsi="仿宋"/>
          <w:b/>
          <w:bCs/>
          <w:szCs w:val="32"/>
        </w:rPr>
        <w:t xml:space="preserve">第三条 </w:t>
      </w:r>
      <w:r>
        <w:rPr>
          <w:rFonts w:hint="eastAsia" w:hAnsi="仿宋"/>
          <w:szCs w:val="32"/>
        </w:rPr>
        <w:t>本细则所称艰苦边远地区是指按《人事部、财政部关于完善艰苦边远地区津贴制度实施方案的通知》(国人部发〔2006〕61号)中规定的三类以上地区。</w:t>
      </w:r>
    </w:p>
    <w:p>
      <w:pPr>
        <w:adjustRightInd/>
        <w:snapToGrid/>
        <w:spacing w:line="560" w:lineRule="exact"/>
        <w:ind w:firstLine="643" w:firstLineChars="200"/>
        <w:textAlignment w:val="center"/>
        <w:rPr>
          <w:szCs w:val="32"/>
        </w:rPr>
      </w:pPr>
      <w:r>
        <w:rPr>
          <w:rFonts w:hint="eastAsia" w:hAnsi="仿宋"/>
          <w:b/>
          <w:bCs/>
          <w:szCs w:val="32"/>
        </w:rPr>
        <w:t xml:space="preserve">第四条 </w:t>
      </w:r>
      <w:r>
        <w:rPr>
          <w:rFonts w:hint="eastAsia" w:hAnsi="仿宋"/>
          <w:szCs w:val="32"/>
        </w:rPr>
        <w:t>本细则所称</w:t>
      </w:r>
      <w:r>
        <w:rPr>
          <w:rFonts w:hint="eastAsia"/>
          <w:szCs w:val="32"/>
        </w:rPr>
        <w:t>基层单位是指我省乡镇以下（不含县政府所在地）农村中小学校、国有农(林、牧、渔)场、农技推广站、畜牧兽医站、乡镇卫生院、计划生育服务站、乡镇文化站、养老服务机构等基层单位。金融、通讯、烟酒、飞机及列车乘务、房地产及其相关产业等特殊行业，不属于基层单位。</w:t>
      </w:r>
    </w:p>
    <w:p>
      <w:pPr>
        <w:adjustRightInd/>
        <w:snapToGrid/>
        <w:spacing w:line="560" w:lineRule="exact"/>
        <w:ind w:firstLine="643" w:firstLineChars="200"/>
        <w:textAlignment w:val="center"/>
        <w:rPr>
          <w:szCs w:val="32"/>
        </w:rPr>
      </w:pPr>
      <w:r>
        <w:rPr>
          <w:rFonts w:hint="eastAsia" w:hAnsi="仿宋"/>
          <w:b/>
          <w:bCs/>
          <w:szCs w:val="32"/>
        </w:rPr>
        <w:t>第五条</w:t>
      </w:r>
      <w:r>
        <w:rPr>
          <w:rFonts w:hint="eastAsia"/>
          <w:szCs w:val="32"/>
        </w:rPr>
        <w:t>  代偿补助实行分类分年度发放的办法，在四类、五类艰苦边远地区符合上述规定的单位参加工作满三年且连续考核称职的，按照代偿资金的50%给予补助，以后每增加一年，增发25%的代偿资金。三类艰苦边远地区满五年且连续考核称职的，按照代偿资金的50%给予补助，以后每增加一年，增发25%的代偿资金。</w:t>
      </w:r>
    </w:p>
    <w:p>
      <w:pPr>
        <w:adjustRightInd/>
        <w:snapToGrid/>
        <w:spacing w:line="560" w:lineRule="exact"/>
        <w:ind w:firstLine="643" w:firstLineChars="200"/>
        <w:textAlignment w:val="center"/>
        <w:rPr>
          <w:szCs w:val="32"/>
        </w:rPr>
      </w:pPr>
      <w:r>
        <w:rPr>
          <w:rFonts w:hint="eastAsia" w:hAnsi="仿宋"/>
          <w:b/>
          <w:bCs/>
          <w:szCs w:val="32"/>
        </w:rPr>
        <w:t>第六条</w:t>
      </w:r>
      <w:r>
        <w:rPr>
          <w:rFonts w:hint="eastAsia"/>
          <w:szCs w:val="32"/>
        </w:rPr>
        <w:t>  助学贷款学费代偿的金额按学生在校期间实际缴纳学费计算，每学年最高不超过本人申请的贷款额度。</w:t>
      </w:r>
    </w:p>
    <w:p>
      <w:pPr>
        <w:adjustRightInd/>
        <w:snapToGrid/>
        <w:spacing w:line="560" w:lineRule="exact"/>
        <w:ind w:firstLine="641"/>
        <w:textAlignment w:val="center"/>
        <w:rPr>
          <w:rFonts w:hAnsi="仿宋"/>
          <w:szCs w:val="32"/>
        </w:rPr>
      </w:pPr>
      <w:r>
        <w:rPr>
          <w:rFonts w:hint="eastAsia" w:hAnsi="仿宋"/>
          <w:b/>
          <w:bCs/>
          <w:szCs w:val="32"/>
        </w:rPr>
        <w:t>第七条</w:t>
      </w:r>
      <w:r>
        <w:rPr>
          <w:rFonts w:hint="eastAsia" w:hAnsi="仿宋"/>
          <w:szCs w:val="32"/>
        </w:rPr>
        <w:t xml:space="preserve"> 助学贷款学费代偿按以下程序办理:</w:t>
      </w:r>
    </w:p>
    <w:p>
      <w:pPr>
        <w:adjustRightInd/>
        <w:snapToGrid/>
        <w:spacing w:line="560" w:lineRule="exact"/>
        <w:ind w:firstLine="641"/>
        <w:textAlignment w:val="center"/>
        <w:rPr>
          <w:rFonts w:hAnsi="仿宋"/>
          <w:szCs w:val="32"/>
        </w:rPr>
      </w:pPr>
      <w:r>
        <w:rPr>
          <w:rFonts w:hint="eastAsia"/>
          <w:szCs w:val="32"/>
        </w:rPr>
        <w:t>（一）符合条件的毕业生连续服务期满后，向就业服务地的县学生资助中心递交《甘肃省基层就业国家助学贷款学费代偿申请表》(详见附件1)，申请和审核每年集中办理一次，个人申请应于当年9月1日前提交。提交申请时应附送以下补充资料:</w:t>
      </w:r>
    </w:p>
    <w:p>
      <w:pPr>
        <w:adjustRightInd/>
        <w:snapToGrid/>
        <w:spacing w:line="560" w:lineRule="exact"/>
        <w:ind w:firstLine="640" w:firstLineChars="200"/>
        <w:textAlignment w:val="center"/>
        <w:rPr>
          <w:rFonts w:hAnsi="仿宋"/>
          <w:szCs w:val="32"/>
        </w:rPr>
      </w:pPr>
      <w:r>
        <w:rPr>
          <w:rFonts w:hint="eastAsia" w:hAnsi="仿宋"/>
          <w:szCs w:val="32"/>
        </w:rPr>
        <w:t>1.县级人社</w:t>
      </w:r>
      <w:r>
        <w:rPr>
          <w:rFonts w:hAnsi="仿宋"/>
          <w:szCs w:val="32"/>
        </w:rPr>
        <w:t>部门正式录用文件</w:t>
      </w:r>
      <w:r>
        <w:rPr>
          <w:rFonts w:hint="eastAsia" w:hAnsi="仿宋"/>
          <w:szCs w:val="32"/>
        </w:rPr>
        <w:t>（不含</w:t>
      </w:r>
      <w:r>
        <w:rPr>
          <w:rFonts w:hAnsi="仿宋"/>
          <w:szCs w:val="32"/>
        </w:rPr>
        <w:t>编外人员</w:t>
      </w:r>
      <w:r>
        <w:rPr>
          <w:rFonts w:hint="eastAsia" w:hAnsi="仿宋"/>
          <w:szCs w:val="32"/>
        </w:rPr>
        <w:t>）;</w:t>
      </w:r>
    </w:p>
    <w:p>
      <w:pPr>
        <w:adjustRightInd/>
        <w:snapToGrid/>
        <w:spacing w:line="560" w:lineRule="exact"/>
        <w:ind w:firstLine="640" w:firstLineChars="200"/>
        <w:textAlignment w:val="center"/>
        <w:rPr>
          <w:rFonts w:hAnsi="仿宋"/>
          <w:szCs w:val="32"/>
        </w:rPr>
      </w:pPr>
      <w:r>
        <w:rPr>
          <w:rFonts w:hint="eastAsia" w:hAnsi="仿宋"/>
          <w:szCs w:val="32"/>
        </w:rPr>
        <w:t>2.个人</w:t>
      </w:r>
      <w:r>
        <w:rPr>
          <w:rFonts w:hAnsi="仿宋"/>
          <w:szCs w:val="32"/>
        </w:rPr>
        <w:t>近三年</w:t>
      </w:r>
      <w:r>
        <w:rPr>
          <w:rFonts w:hint="eastAsia" w:hAnsi="仿宋"/>
          <w:szCs w:val="32"/>
        </w:rPr>
        <w:t>或五年工作</w:t>
      </w:r>
      <w:r>
        <w:rPr>
          <w:rFonts w:hAnsi="仿宋"/>
          <w:szCs w:val="32"/>
        </w:rPr>
        <w:t>考核</w:t>
      </w:r>
      <w:r>
        <w:rPr>
          <w:rFonts w:hint="eastAsia" w:hAnsi="仿宋"/>
          <w:szCs w:val="32"/>
        </w:rPr>
        <w:t>表</w:t>
      </w:r>
      <w:r>
        <w:rPr>
          <w:rFonts w:hAnsi="仿宋"/>
          <w:szCs w:val="32"/>
        </w:rPr>
        <w:t>复印件（</w:t>
      </w:r>
      <w:r>
        <w:rPr>
          <w:rFonts w:hint="eastAsia" w:hAnsi="仿宋"/>
          <w:szCs w:val="32"/>
        </w:rPr>
        <w:t>加盖</w:t>
      </w:r>
      <w:r>
        <w:rPr>
          <w:rFonts w:hAnsi="仿宋"/>
          <w:szCs w:val="32"/>
        </w:rPr>
        <w:t>单位和人社部门公章）</w:t>
      </w:r>
      <w:r>
        <w:rPr>
          <w:rFonts w:hint="eastAsia" w:hAnsi="仿宋"/>
          <w:szCs w:val="32"/>
        </w:rPr>
        <w:t>;</w:t>
      </w:r>
    </w:p>
    <w:p>
      <w:pPr>
        <w:adjustRightInd/>
        <w:snapToGrid/>
        <w:spacing w:line="560" w:lineRule="exact"/>
        <w:ind w:firstLine="640" w:firstLineChars="200"/>
        <w:textAlignment w:val="center"/>
        <w:rPr>
          <w:rFonts w:hAnsi="仿宋"/>
          <w:szCs w:val="32"/>
        </w:rPr>
      </w:pPr>
      <w:r>
        <w:rPr>
          <w:rFonts w:hint="eastAsia" w:hAnsi="仿宋"/>
          <w:szCs w:val="32"/>
        </w:rPr>
        <w:t>3.本人高等学校毕业证书复印件；</w:t>
      </w:r>
    </w:p>
    <w:p>
      <w:pPr>
        <w:adjustRightInd/>
        <w:snapToGrid/>
        <w:spacing w:line="560" w:lineRule="exact"/>
        <w:ind w:firstLine="640" w:firstLineChars="200"/>
        <w:textAlignment w:val="center"/>
        <w:rPr>
          <w:szCs w:val="32"/>
        </w:rPr>
      </w:pPr>
      <w:r>
        <w:rPr>
          <w:rFonts w:hint="eastAsia" w:hAnsi="仿宋"/>
          <w:szCs w:val="32"/>
        </w:rPr>
        <w:t>4.在校期间所缴纳学费和贷款凭证。</w:t>
      </w:r>
    </w:p>
    <w:p>
      <w:pPr>
        <w:adjustRightInd/>
        <w:snapToGrid/>
        <w:spacing w:line="560" w:lineRule="exact"/>
        <w:ind w:firstLine="640" w:firstLineChars="200"/>
        <w:textAlignment w:val="center"/>
        <w:rPr>
          <w:rFonts w:hAnsi="仿宋"/>
          <w:szCs w:val="32"/>
        </w:rPr>
      </w:pPr>
      <w:r>
        <w:rPr>
          <w:rFonts w:hint="eastAsia" w:hAnsi="仿宋"/>
          <w:szCs w:val="32"/>
        </w:rPr>
        <w:t>（二）县级学生资助管理中心对申请表和附送资料进行审查</w:t>
      </w:r>
      <w:r>
        <w:rPr>
          <w:rFonts w:hAnsi="仿宋"/>
          <w:szCs w:val="32"/>
        </w:rPr>
        <w:t>后，</w:t>
      </w:r>
      <w:r>
        <w:rPr>
          <w:rFonts w:hint="eastAsia" w:hAnsi="仿宋"/>
          <w:szCs w:val="32"/>
        </w:rPr>
        <w:t>于9月</w:t>
      </w:r>
      <w:r>
        <w:rPr>
          <w:rFonts w:hAnsi="仿宋"/>
          <w:szCs w:val="32"/>
        </w:rPr>
        <w:t>20</w:t>
      </w:r>
      <w:r>
        <w:rPr>
          <w:rFonts w:hint="eastAsia" w:hAnsi="仿宋"/>
          <w:szCs w:val="32"/>
        </w:rPr>
        <w:t>日前向县(市、区)教育局报送资金</w:t>
      </w:r>
      <w:r>
        <w:rPr>
          <w:rFonts w:hAnsi="仿宋"/>
          <w:szCs w:val="32"/>
        </w:rPr>
        <w:t>申请报告，</w:t>
      </w:r>
      <w:r>
        <w:rPr>
          <w:rFonts w:hint="eastAsia" w:hAnsi="仿宋"/>
          <w:szCs w:val="32"/>
        </w:rPr>
        <w:t>县(市、区)教育局审核后</w:t>
      </w:r>
      <w:r>
        <w:rPr>
          <w:rFonts w:hAnsi="仿宋"/>
          <w:szCs w:val="32"/>
        </w:rPr>
        <w:t>，</w:t>
      </w:r>
      <w:r>
        <w:rPr>
          <w:rFonts w:hint="eastAsia" w:hAnsi="仿宋"/>
          <w:szCs w:val="32"/>
        </w:rPr>
        <w:t>于9月30日前报</w:t>
      </w:r>
      <w:r>
        <w:rPr>
          <w:rFonts w:hAnsi="仿宋"/>
          <w:szCs w:val="32"/>
        </w:rPr>
        <w:t>县</w:t>
      </w:r>
      <w:r>
        <w:rPr>
          <w:rFonts w:hint="eastAsia" w:hAnsi="仿宋"/>
          <w:szCs w:val="32"/>
        </w:rPr>
        <w:t>财政局</w:t>
      </w:r>
      <w:r>
        <w:rPr>
          <w:rFonts w:hAnsi="仿宋"/>
          <w:szCs w:val="32"/>
        </w:rPr>
        <w:t>申请拨付资金</w:t>
      </w:r>
      <w:r>
        <w:rPr>
          <w:rFonts w:hint="eastAsia" w:hAnsi="仿宋"/>
          <w:szCs w:val="32"/>
        </w:rPr>
        <w:t>，县(市、区)财政部门核定后，</w:t>
      </w:r>
      <w:r>
        <w:rPr>
          <w:rFonts w:hAnsi="仿宋"/>
          <w:szCs w:val="32"/>
        </w:rPr>
        <w:t>将资金拨付</w:t>
      </w:r>
      <w:r>
        <w:rPr>
          <w:rFonts w:hint="eastAsia" w:hAnsi="仿宋"/>
          <w:szCs w:val="32"/>
        </w:rPr>
        <w:t>县</w:t>
      </w:r>
      <w:r>
        <w:rPr>
          <w:rFonts w:hAnsi="仿宋"/>
          <w:szCs w:val="32"/>
        </w:rPr>
        <w:t>学生资助管理中心，</w:t>
      </w:r>
      <w:r>
        <w:rPr>
          <w:rFonts w:hint="eastAsia" w:hAnsi="仿宋"/>
          <w:szCs w:val="32"/>
        </w:rPr>
        <w:t>由</w:t>
      </w:r>
      <w:r>
        <w:rPr>
          <w:rFonts w:hAnsi="仿宋"/>
          <w:szCs w:val="32"/>
        </w:rPr>
        <w:t>县学生资助管理中心负责发放。</w:t>
      </w:r>
    </w:p>
    <w:p>
      <w:pPr>
        <w:adjustRightInd/>
        <w:snapToGrid/>
        <w:spacing w:line="560" w:lineRule="exact"/>
        <w:ind w:firstLine="640" w:firstLineChars="200"/>
        <w:textAlignment w:val="center"/>
        <w:rPr>
          <w:rFonts w:hAnsi="仿宋"/>
          <w:szCs w:val="32"/>
        </w:rPr>
      </w:pPr>
      <w:r>
        <w:rPr>
          <w:rFonts w:hint="eastAsia" w:hAnsi="仿宋"/>
          <w:szCs w:val="32"/>
        </w:rPr>
        <w:t>（三）县(市、区)教育局于10月</w:t>
      </w:r>
      <w:r>
        <w:rPr>
          <w:rFonts w:hAnsi="仿宋"/>
          <w:szCs w:val="32"/>
        </w:rPr>
        <w:t>20</w:t>
      </w:r>
      <w:r>
        <w:rPr>
          <w:rFonts w:hint="eastAsia" w:hAnsi="仿宋"/>
          <w:szCs w:val="32"/>
        </w:rPr>
        <w:t>日前将</w:t>
      </w:r>
      <w:r>
        <w:rPr>
          <w:rFonts w:hAnsi="仿宋"/>
          <w:szCs w:val="32"/>
        </w:rPr>
        <w:t>发放情况报</w:t>
      </w:r>
      <w:r>
        <w:rPr>
          <w:rFonts w:hint="eastAsia" w:hAnsi="仿宋"/>
          <w:szCs w:val="32"/>
        </w:rPr>
        <w:t>省教育厅学生资助管理中心核查汇总</w:t>
      </w:r>
      <w:r>
        <w:rPr>
          <w:rFonts w:hAnsi="仿宋"/>
          <w:szCs w:val="32"/>
        </w:rPr>
        <w:t>后</w:t>
      </w:r>
      <w:r>
        <w:rPr>
          <w:rFonts w:hint="eastAsia" w:hAnsi="仿宋"/>
          <w:szCs w:val="32"/>
        </w:rPr>
        <w:t>(汇总报表详见附件2)，于1</w:t>
      </w:r>
      <w:r>
        <w:rPr>
          <w:rFonts w:hAnsi="仿宋"/>
          <w:szCs w:val="32"/>
        </w:rPr>
        <w:t>1</w:t>
      </w:r>
      <w:r>
        <w:rPr>
          <w:rFonts w:hint="eastAsia" w:hAnsi="仿宋"/>
          <w:szCs w:val="32"/>
        </w:rPr>
        <w:t>月15日前报</w:t>
      </w:r>
      <w:r>
        <w:rPr>
          <w:rFonts w:hint="eastAsia"/>
          <w:szCs w:val="32"/>
        </w:rPr>
        <w:t>省财政厅，省</w:t>
      </w:r>
      <w:r>
        <w:rPr>
          <w:szCs w:val="32"/>
        </w:rPr>
        <w:t>财政厅</w:t>
      </w:r>
      <w:r>
        <w:rPr>
          <w:rFonts w:hint="eastAsia"/>
          <w:szCs w:val="32"/>
        </w:rPr>
        <w:t>在</w:t>
      </w:r>
      <w:r>
        <w:rPr>
          <w:szCs w:val="32"/>
        </w:rPr>
        <w:t>安排下</w:t>
      </w:r>
      <w:r>
        <w:rPr>
          <w:rFonts w:hint="eastAsia"/>
          <w:szCs w:val="32"/>
        </w:rPr>
        <w:t>年度省对</w:t>
      </w:r>
      <w:r>
        <w:rPr>
          <w:szCs w:val="32"/>
        </w:rPr>
        <w:t>市县一般性转移</w:t>
      </w:r>
      <w:r>
        <w:rPr>
          <w:rFonts w:hint="eastAsia"/>
          <w:szCs w:val="32"/>
        </w:rPr>
        <w:t>支付时作为</w:t>
      </w:r>
      <w:r>
        <w:rPr>
          <w:szCs w:val="32"/>
        </w:rPr>
        <w:t>一项因素予以考虑。</w:t>
      </w:r>
    </w:p>
    <w:p>
      <w:pPr>
        <w:adjustRightInd/>
        <w:snapToGrid/>
        <w:spacing w:line="560" w:lineRule="exact"/>
        <w:ind w:firstLine="643" w:firstLineChars="200"/>
        <w:textAlignment w:val="center"/>
        <w:rPr>
          <w:szCs w:val="32"/>
        </w:rPr>
      </w:pPr>
      <w:r>
        <w:rPr>
          <w:rFonts w:hint="eastAsia"/>
          <w:b/>
          <w:szCs w:val="32"/>
        </w:rPr>
        <w:t>第八条</w:t>
      </w:r>
      <w:r>
        <w:rPr>
          <w:rFonts w:hint="eastAsia"/>
          <w:szCs w:val="32"/>
        </w:rPr>
        <w:t xml:space="preserve"> 各地</w:t>
      </w:r>
      <w:r>
        <w:rPr>
          <w:szCs w:val="32"/>
        </w:rPr>
        <w:t>要加强资格审核，</w:t>
      </w:r>
      <w:r>
        <w:rPr>
          <w:rFonts w:hint="eastAsia"/>
          <w:szCs w:val="32"/>
        </w:rPr>
        <w:t>严格</w:t>
      </w:r>
      <w:r>
        <w:rPr>
          <w:szCs w:val="32"/>
        </w:rPr>
        <w:t>管理</w:t>
      </w:r>
      <w:r>
        <w:rPr>
          <w:rFonts w:hint="eastAsia"/>
          <w:szCs w:val="32"/>
        </w:rPr>
        <w:t>。对弄虚作假的市县和人员，一经查实，除收回补偿代偿资金外，将按有关规定追究相关责任。</w:t>
      </w:r>
    </w:p>
    <w:p>
      <w:pPr>
        <w:adjustRightInd/>
        <w:snapToGrid/>
        <w:spacing w:line="560" w:lineRule="exact"/>
        <w:ind w:firstLine="643" w:firstLineChars="200"/>
        <w:textAlignment w:val="center"/>
        <w:rPr>
          <w:szCs w:val="32"/>
        </w:rPr>
      </w:pPr>
      <w:r>
        <w:rPr>
          <w:rFonts w:hint="eastAsia"/>
          <w:b/>
          <w:szCs w:val="32"/>
        </w:rPr>
        <w:t>第九条</w:t>
      </w:r>
      <w:r>
        <w:rPr>
          <w:rFonts w:hint="eastAsia"/>
          <w:szCs w:val="32"/>
        </w:rPr>
        <w:t xml:space="preserve"> 市（州）、县（区）学生资助管理中心要严格按照规定进行审核，对审核中遇到的问题，及时与省学生资助管理中心沟通解决，严禁扩范围、提标准发放。</w:t>
      </w:r>
    </w:p>
    <w:p>
      <w:pPr>
        <w:adjustRightInd/>
        <w:snapToGrid/>
        <w:spacing w:line="560" w:lineRule="exact"/>
        <w:ind w:firstLine="643" w:firstLineChars="200"/>
        <w:textAlignment w:val="center"/>
        <w:rPr>
          <w:szCs w:val="32"/>
        </w:rPr>
      </w:pPr>
      <w:r>
        <w:rPr>
          <w:rFonts w:hint="eastAsia"/>
          <w:b/>
          <w:szCs w:val="32"/>
        </w:rPr>
        <w:t>第十条</w:t>
      </w:r>
      <w:r>
        <w:rPr>
          <w:rFonts w:hint="eastAsia"/>
          <w:szCs w:val="32"/>
        </w:rPr>
        <w:t xml:space="preserve"> 代偿资金要通过申请人本人银行卡发放，不允许通过现金方式发放。</w:t>
      </w:r>
    </w:p>
    <w:p>
      <w:pPr>
        <w:adjustRightInd/>
        <w:snapToGrid/>
        <w:spacing w:line="560" w:lineRule="exact"/>
        <w:ind w:firstLine="643" w:firstLineChars="200"/>
        <w:textAlignment w:val="center"/>
        <w:rPr>
          <w:b/>
          <w:szCs w:val="32"/>
        </w:rPr>
      </w:pPr>
      <w:r>
        <w:rPr>
          <w:rFonts w:hint="eastAsia"/>
          <w:b/>
          <w:szCs w:val="32"/>
        </w:rPr>
        <w:t xml:space="preserve">第十一条 </w:t>
      </w:r>
      <w:r>
        <w:rPr>
          <w:b/>
          <w:szCs w:val="32"/>
        </w:rPr>
        <w:t xml:space="preserve"> </w:t>
      </w:r>
      <w:r>
        <w:rPr>
          <w:szCs w:val="32"/>
        </w:rPr>
        <w:t>养老</w:t>
      </w:r>
      <w:r>
        <w:rPr>
          <w:rFonts w:hint="eastAsia"/>
          <w:szCs w:val="32"/>
        </w:rPr>
        <w:t>服务业人员按照《甘肃省人民政府关于加快发展养老服务业的实施意见》（甘政发</w:t>
      </w:r>
      <w:r>
        <w:rPr>
          <w:rFonts w:hint="eastAsia" w:hAnsi="宋体" w:cs="宋体"/>
          <w:szCs w:val="32"/>
        </w:rPr>
        <w:t>〔</w:t>
      </w:r>
      <w:r>
        <w:rPr>
          <w:rFonts w:hint="eastAsia"/>
          <w:szCs w:val="32"/>
        </w:rPr>
        <w:t>2014</w:t>
      </w:r>
      <w:r>
        <w:rPr>
          <w:rFonts w:hint="eastAsia" w:hAnsi="宋体" w:cs="宋体"/>
          <w:szCs w:val="32"/>
        </w:rPr>
        <w:t>〕</w:t>
      </w:r>
      <w:r>
        <w:rPr>
          <w:rFonts w:hint="eastAsia"/>
          <w:szCs w:val="32"/>
        </w:rPr>
        <w:t>50号）和《甘肃省普通高等学校毕业生到养老服务机构服务学费及国家助学贷款代偿暂行办法》的通知（甘教资助〔2018〕11号）执行。</w:t>
      </w:r>
    </w:p>
    <w:p>
      <w:pPr>
        <w:adjustRightInd/>
        <w:snapToGrid/>
        <w:spacing w:line="560" w:lineRule="exact"/>
        <w:ind w:firstLine="640" w:firstLineChars="200"/>
        <w:textAlignment w:val="center"/>
        <w:rPr>
          <w:szCs w:val="32"/>
        </w:rPr>
      </w:pPr>
    </w:p>
    <w:p>
      <w:pPr>
        <w:adjustRightInd/>
        <w:snapToGrid/>
        <w:spacing w:line="560" w:lineRule="exact"/>
        <w:ind w:firstLine="640" w:firstLineChars="200"/>
        <w:textAlignment w:val="center"/>
        <w:rPr>
          <w:szCs w:val="32"/>
        </w:rPr>
      </w:pPr>
      <w:r>
        <w:rPr>
          <w:rFonts w:hint="eastAsia"/>
          <w:szCs w:val="32"/>
        </w:rPr>
        <w:t>附8-1：甘肃省基层就业国家助学贷款学费代偿申请表</w:t>
      </w:r>
    </w:p>
    <w:p>
      <w:pPr>
        <w:adjustRightInd/>
        <w:snapToGrid/>
        <w:spacing w:line="560" w:lineRule="exact"/>
        <w:ind w:firstLine="640" w:firstLineChars="200"/>
        <w:textAlignment w:val="center"/>
        <w:rPr>
          <w:rFonts w:hAnsi="仿宋"/>
          <w:szCs w:val="32"/>
        </w:rPr>
      </w:pPr>
      <w:r>
        <w:rPr>
          <w:rFonts w:hint="eastAsia"/>
          <w:color w:val="FFFFFF"/>
          <w:szCs w:val="32"/>
        </w:rPr>
        <w:t>附</w:t>
      </w:r>
      <w:r>
        <w:rPr>
          <w:rFonts w:hint="eastAsia"/>
          <w:szCs w:val="32"/>
        </w:rPr>
        <w:t>8-2：甘肃省基层就业国家助学贷款学费代偿汇总表</w:t>
      </w:r>
    </w:p>
    <w:p>
      <w:pPr>
        <w:widowControl/>
        <w:adjustRightInd/>
        <w:snapToGrid/>
        <w:spacing w:line="240" w:lineRule="auto"/>
        <w:jc w:val="left"/>
        <w:rPr>
          <w:rFonts w:hint="eastAsia" w:hAnsi="仿宋_GB2312" w:cs="仿宋_GB2312"/>
        </w:rPr>
      </w:pPr>
      <w:r>
        <w:rPr>
          <w:rFonts w:hAnsi="仿宋_GB2312" w:cs="仿宋_GB2312"/>
        </w:rPr>
        <w:br w:type="page"/>
      </w:r>
    </w:p>
    <w:p>
      <w:pPr>
        <w:rPr>
          <w:rFonts w:hint="eastAsia"/>
        </w:rPr>
      </w:pPr>
      <w:r>
        <w:drawing>
          <wp:inline distT="0" distB="0" distL="114300" distR="114300">
            <wp:extent cx="5616575" cy="7407275"/>
            <wp:effectExtent l="0" t="0" r="3175" b="31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5616575" cy="7407275"/>
                    </a:xfrm>
                    <a:prstGeom prst="rect">
                      <a:avLst/>
                    </a:prstGeom>
                    <a:noFill/>
                    <a:ln>
                      <a:noFill/>
                    </a:ln>
                  </pic:spPr>
                </pic:pic>
              </a:graphicData>
            </a:graphic>
          </wp:inline>
        </w:drawing>
      </w:r>
      <w:r>
        <w:br w:type="page"/>
      </w:r>
    </w:p>
    <w:tbl>
      <w:tblPr>
        <w:tblStyle w:val="2"/>
        <w:tblW w:w="8660" w:type="dxa"/>
        <w:jc w:val="center"/>
        <w:tblLayout w:type="autofit"/>
        <w:tblCellMar>
          <w:top w:w="0" w:type="dxa"/>
          <w:left w:w="108" w:type="dxa"/>
          <w:bottom w:w="0" w:type="dxa"/>
          <w:right w:w="108" w:type="dxa"/>
        </w:tblCellMar>
      </w:tblPr>
      <w:tblGrid>
        <w:gridCol w:w="8660"/>
      </w:tblGrid>
      <w:tr>
        <w:tblPrEx>
          <w:tblCellMar>
            <w:top w:w="0" w:type="dxa"/>
            <w:left w:w="108" w:type="dxa"/>
            <w:bottom w:w="0" w:type="dxa"/>
            <w:right w:w="108" w:type="dxa"/>
          </w:tblCellMar>
        </w:tblPrEx>
        <w:trPr>
          <w:trHeight w:val="283" w:hRule="atLeast"/>
          <w:jc w:val="center"/>
        </w:trPr>
        <w:tc>
          <w:tcPr>
            <w:tcW w:w="8660" w:type="dxa"/>
            <w:tcBorders>
              <w:top w:val="nil"/>
              <w:left w:val="nil"/>
              <w:bottom w:val="nil"/>
              <w:right w:val="nil"/>
            </w:tcBorders>
            <w:noWrap/>
            <w:vAlign w:val="center"/>
          </w:tcPr>
          <w:p>
            <w:pPr>
              <w:adjustRightInd/>
              <w:snapToGrid/>
              <w:spacing w:line="620" w:lineRule="exact"/>
              <w:rPr>
                <w:rFonts w:ascii="黑体" w:hAnsi="黑体" w:eastAsia="黑体" w:cs="黑体"/>
                <w:szCs w:val="32"/>
              </w:rPr>
            </w:pPr>
            <w:r>
              <w:rPr>
                <w:rFonts w:hint="eastAsia" w:ascii="黑体" w:hAnsi="黑体" w:eastAsia="黑体" w:cs="黑体"/>
                <w:szCs w:val="32"/>
              </w:rPr>
              <w:t>附</w:t>
            </w:r>
            <w:r>
              <w:rPr>
                <w:rFonts w:ascii="黑体" w:hAnsi="黑体" w:eastAsia="黑体" w:cs="黑体"/>
                <w:szCs w:val="32"/>
              </w:rPr>
              <w:t>8-2</w:t>
            </w:r>
          </w:p>
          <w:p>
            <w:pPr>
              <w:adjustRightInd/>
              <w:snapToGrid/>
              <w:spacing w:line="620" w:lineRule="exact"/>
              <w:rPr>
                <w:rFonts w:hint="eastAsia" w:ascii="黑体" w:hAnsi="黑体" w:eastAsia="黑体" w:cs="黑体"/>
                <w:szCs w:val="32"/>
              </w:rPr>
            </w:pPr>
          </w:p>
          <w:p>
            <w:pPr>
              <w:adjustRightInd/>
              <w:snapToGrid/>
              <w:spacing w:line="620" w:lineRule="exact"/>
              <w:rPr>
                <w:rFonts w:ascii="黑体" w:hAnsi="黑体" w:eastAsia="黑体" w:cs="黑体"/>
                <w:szCs w:val="32"/>
              </w:rPr>
            </w:pPr>
          </w:p>
          <w:p>
            <w:pPr>
              <w:adjustRightInd/>
              <w:snapToGrid/>
              <w:spacing w:line="620" w:lineRule="exact"/>
              <w:rPr>
                <w:rFonts w:hint="eastAsia" w:ascii="黑体" w:hAnsi="黑体" w:eastAsia="黑体" w:cs="黑体"/>
                <w:szCs w:val="32"/>
              </w:rPr>
            </w:pPr>
          </w:p>
          <w:p>
            <w:pPr>
              <w:adjustRightInd/>
              <w:snapToGrid/>
              <w:spacing w:line="620" w:lineRule="exact"/>
              <w:rPr>
                <w:rFonts w:ascii="黑体" w:hAnsi="黑体" w:eastAsia="黑体" w:cs="黑体"/>
                <w:szCs w:val="32"/>
              </w:rPr>
            </w:pPr>
          </w:p>
          <w:p>
            <w:pPr>
              <w:adjustRightInd/>
              <w:snapToGrid/>
              <w:spacing w:line="620" w:lineRule="exact"/>
              <w:rPr>
                <w:rFonts w:ascii="黑体" w:hAnsi="黑体" w:eastAsia="黑体" w:cs="黑体"/>
                <w:szCs w:val="32"/>
              </w:rPr>
            </w:pPr>
          </w:p>
          <w:p>
            <w:pPr>
              <w:adjustRightInd/>
              <w:snapToGrid/>
              <w:spacing w:line="620" w:lineRule="exact"/>
              <w:rPr>
                <w:rFonts w:ascii="黑体" w:hAnsi="黑体" w:eastAsia="黑体" w:cs="黑体"/>
                <w:szCs w:val="32"/>
              </w:rPr>
            </w:pPr>
          </w:p>
          <w:p>
            <w:pPr>
              <w:adjustRightInd/>
              <w:snapToGrid/>
              <w:spacing w:line="620" w:lineRule="exact"/>
              <w:rPr>
                <w:rFonts w:ascii="黑体" w:hAnsi="黑体" w:eastAsia="黑体" w:cs="黑体"/>
                <w:szCs w:val="32"/>
              </w:rPr>
            </w:pPr>
          </w:p>
          <w:p>
            <w:pPr>
              <w:adjustRightInd/>
              <w:snapToGrid/>
              <w:spacing w:line="620" w:lineRule="exact"/>
              <w:rPr>
                <w:rFonts w:ascii="黑体" w:hAnsi="黑体" w:eastAsia="黑体" w:cs="黑体"/>
                <w:szCs w:val="32"/>
              </w:rPr>
            </w:pPr>
          </w:p>
          <w:p>
            <w:pPr>
              <w:adjustRightInd/>
              <w:snapToGrid/>
              <w:spacing w:line="620" w:lineRule="exact"/>
              <w:rPr>
                <w:rFonts w:ascii="黑体" w:hAnsi="黑体" w:eastAsia="黑体" w:cs="黑体"/>
                <w:szCs w:val="32"/>
              </w:rPr>
            </w:pPr>
          </w:p>
          <w:p>
            <w:pPr>
              <w:adjustRightInd/>
              <w:snapToGrid/>
              <w:spacing w:line="620" w:lineRule="exact"/>
              <w:rPr>
                <w:rFonts w:ascii="黑体" w:hAnsi="黑体" w:eastAsia="黑体" w:cs="黑体"/>
                <w:szCs w:val="32"/>
              </w:rPr>
            </w:pPr>
          </w:p>
          <w:p>
            <w:pPr>
              <w:adjustRightInd/>
              <w:snapToGrid/>
              <w:spacing w:line="620" w:lineRule="exact"/>
              <w:rPr>
                <w:rFonts w:ascii="黑体" w:hAnsi="黑体" w:eastAsia="黑体" w:cs="黑体"/>
                <w:szCs w:val="32"/>
              </w:rPr>
            </w:pPr>
          </w:p>
          <w:p>
            <w:pPr>
              <w:adjustRightInd/>
              <w:snapToGrid/>
              <w:spacing w:line="620" w:lineRule="exact"/>
              <w:rPr>
                <w:rFonts w:ascii="黑体" w:hAnsi="黑体" w:eastAsia="黑体" w:cs="黑体"/>
                <w:szCs w:val="32"/>
              </w:rPr>
            </w:pPr>
          </w:p>
          <w:p>
            <w:pPr>
              <w:adjustRightInd/>
              <w:snapToGrid/>
              <w:spacing w:line="620" w:lineRule="exact"/>
              <w:rPr>
                <w:rFonts w:ascii="黑体" w:hAnsi="黑体" w:eastAsia="黑体" w:cs="黑体"/>
                <w:szCs w:val="32"/>
              </w:rPr>
            </w:pPr>
          </w:p>
          <w:p>
            <w:pPr>
              <w:adjustRightInd/>
              <w:snapToGrid/>
              <w:spacing w:line="620" w:lineRule="exact"/>
              <w:rPr>
                <w:rFonts w:ascii="黑体" w:hAnsi="黑体" w:eastAsia="黑体" w:cs="黑体"/>
                <w:szCs w:val="32"/>
              </w:rPr>
            </w:pPr>
          </w:p>
          <w:p>
            <w:pPr>
              <w:adjustRightInd/>
              <w:snapToGrid/>
              <w:spacing w:line="620" w:lineRule="exact"/>
              <w:rPr>
                <w:rFonts w:ascii="黑体" w:hAnsi="黑体" w:eastAsia="黑体" w:cs="黑体"/>
                <w:szCs w:val="32"/>
              </w:rPr>
            </w:pPr>
          </w:p>
          <w:p>
            <w:pPr>
              <w:adjustRightInd/>
              <w:snapToGrid/>
              <w:spacing w:line="620" w:lineRule="exact"/>
              <w:rPr>
                <w:rFonts w:ascii="黑体" w:hAnsi="黑体" w:eastAsia="黑体" w:cs="黑体"/>
                <w:szCs w:val="32"/>
              </w:rPr>
            </w:pPr>
          </w:p>
          <w:p>
            <w:pPr>
              <w:adjustRightInd/>
              <w:snapToGrid/>
              <w:spacing w:line="620" w:lineRule="exact"/>
              <w:rPr>
                <w:rFonts w:ascii="黑体" w:hAnsi="黑体" w:eastAsia="黑体" w:cs="黑体"/>
                <w:szCs w:val="32"/>
              </w:rPr>
            </w:pPr>
          </w:p>
          <w:p>
            <w:pPr>
              <w:adjustRightInd/>
              <w:snapToGrid/>
              <w:spacing w:line="620" w:lineRule="exact"/>
              <w:rPr>
                <w:rFonts w:ascii="黑体" w:hAnsi="黑体" w:eastAsia="黑体" w:cs="黑体"/>
                <w:szCs w:val="32"/>
              </w:rPr>
            </w:pPr>
          </w:p>
          <w:p>
            <w:pPr>
              <w:adjustRightInd/>
              <w:snapToGrid/>
              <w:spacing w:line="620" w:lineRule="exact"/>
              <w:jc w:val="center"/>
              <w:rPr>
                <w:rFonts w:ascii="黑体" w:hAnsi="黑体" w:eastAsia="黑体" w:cs="黑体"/>
                <w:szCs w:val="32"/>
              </w:rPr>
            </w:pPr>
          </w:p>
          <w:p>
            <w:pPr>
              <w:adjustRightInd/>
              <w:snapToGrid/>
              <w:spacing w:line="620" w:lineRule="exact"/>
              <w:jc w:val="center"/>
              <w:rPr>
                <w:rFonts w:hint="eastAsia" w:ascii="黑体" w:hAnsi="黑体" w:eastAsia="黑体" w:cs="黑体"/>
                <w:szCs w:val="32"/>
              </w:rPr>
            </w:pPr>
            <w:r>
              <w:rPr>
                <w:rFonts w:hint="eastAsia"/>
              </w:rPr>
              <w:drawing>
                <wp:anchor distT="0" distB="0" distL="114300" distR="114300" simplePos="0" relativeHeight="251659264" behindDoc="0" locked="0" layoutInCell="1" allowOverlap="1">
                  <wp:simplePos x="0" y="0"/>
                  <wp:positionH relativeFrom="page">
                    <wp:posOffset>-998220</wp:posOffset>
                  </wp:positionH>
                  <wp:positionV relativeFrom="page">
                    <wp:posOffset>2178050</wp:posOffset>
                  </wp:positionV>
                  <wp:extent cx="7494905" cy="4460240"/>
                  <wp:effectExtent l="0" t="0" r="16510" b="1079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rot="-5400000">
                            <a:off x="0" y="0"/>
                            <a:ext cx="7494905" cy="4460240"/>
                          </a:xfrm>
                          <a:prstGeom prst="rect">
                            <a:avLst/>
                          </a:prstGeom>
                          <a:noFill/>
                          <a:ln>
                            <a:noFill/>
                          </a:ln>
                        </pic:spPr>
                      </pic:pic>
                    </a:graphicData>
                  </a:graphic>
                </wp:anchor>
              </w:drawing>
            </w:r>
          </w:p>
        </w:tc>
      </w:tr>
    </w:tbl>
    <w:p>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sectPr>
      <w:pgSz w:w="11906" w:h="16838"/>
      <w:pgMar w:top="2098" w:right="1474" w:bottom="1440" w:left="1587" w:header="851" w:footer="992" w:gutter="0"/>
      <w:cols w:space="0" w:num="1"/>
      <w:rtlGutter w:val="0"/>
      <w:docGrid w:type="lines" w:linePitch="44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NDViYjczMzVmNDgxOTI4MjQ5Y2VmZWEzODFhNWUifQ=="/>
  </w:docVars>
  <w:rsids>
    <w:rsidRoot w:val="36725577"/>
    <w:rsid w:val="36725577"/>
    <w:rsid w:val="69642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仿宋_GB2312" w:hAnsi="Calibri" w:eastAsia="仿宋_GB2312" w:cs="Times New Roman"/>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2023-07-26T08:40:00Z</dcterms:created>
  <dc:creator>丝路风云</dc:creator>
  <cp:lastModifiedBy>丝路风云</cp:lastModifiedBy>
  <dcterms:modified xsi:type="dcterms:W3CDTF">2023-07-26T08:41:33Z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BAF5090B1F814F4A82217330AEE46990_11</vt:lpwstr>
  </property>
</Properties>
</file>