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5BBCDE">
      <w:pPr>
        <w:spacing w:before="480" w:after="480" w:line="288" w:lineRule="auto"/>
        <w:ind w:left="0"/>
        <w:jc w:val="center"/>
        <w:rPr>
          <w:rFonts w:hint="eastAsia" w:ascii="方正小标宋简体" w:hAnsi="方正小标宋简体" w:eastAsia="方正小标宋简体" w:cs="方正小标宋简体"/>
          <w:b/>
          <w:color w:val="auto"/>
          <w:sz w:val="52"/>
          <w:szCs w:val="52"/>
        </w:rPr>
      </w:pPr>
    </w:p>
    <w:p w14:paraId="39C4E426">
      <w:pPr>
        <w:spacing w:before="480" w:after="480" w:line="288" w:lineRule="auto"/>
        <w:ind w:left="0"/>
        <w:jc w:val="center"/>
        <w:rPr>
          <w:rFonts w:hint="eastAsia" w:ascii="方正小标宋简体" w:hAnsi="方正小标宋简体" w:eastAsia="方正小标宋简体" w:cs="方正小标宋简体"/>
          <w:b/>
          <w:color w:val="auto"/>
          <w:sz w:val="52"/>
          <w:szCs w:val="52"/>
        </w:rPr>
      </w:pPr>
    </w:p>
    <w:p w14:paraId="761B0B83">
      <w:pPr>
        <w:spacing w:before="480" w:after="480" w:line="288" w:lineRule="auto"/>
        <w:ind w:left="0"/>
        <w:jc w:val="center"/>
        <w:rPr>
          <w:rFonts w:hint="eastAsia" w:ascii="方正小标宋简体" w:hAnsi="方正小标宋简体" w:eastAsia="方正小标宋简体" w:cs="方正小标宋简体"/>
          <w:b/>
          <w:color w:val="auto"/>
          <w:sz w:val="52"/>
          <w:szCs w:val="52"/>
        </w:rPr>
      </w:pPr>
    </w:p>
    <w:p w14:paraId="05869DBB">
      <w:pPr>
        <w:spacing w:before="480" w:after="480" w:line="288" w:lineRule="auto"/>
        <w:ind w:left="0"/>
        <w:jc w:val="center"/>
        <w:rPr>
          <w:rFonts w:hint="eastAsia" w:ascii="方正小标宋简体" w:hAnsi="方正小标宋简体" w:eastAsia="方正小标宋简体" w:cs="方正小标宋简体"/>
          <w:color w:val="auto"/>
          <w:sz w:val="52"/>
          <w:szCs w:val="52"/>
        </w:rPr>
      </w:pPr>
      <w:r>
        <w:rPr>
          <w:rFonts w:hint="eastAsia" w:ascii="方正小标宋简体" w:hAnsi="方正小标宋简体" w:eastAsia="方正小标宋简体" w:cs="方正小标宋简体"/>
          <w:b/>
          <w:color w:val="auto"/>
          <w:sz w:val="52"/>
          <w:szCs w:val="52"/>
        </w:rPr>
        <w:t>肃南县突发生态环境事件应急预案</w:t>
      </w:r>
      <w:r>
        <w:rPr>
          <w:rFonts w:hint="eastAsia" w:ascii="方正小标宋简体" w:hAnsi="方正小标宋简体" w:eastAsia="方正小标宋简体" w:cs="方正小标宋简体"/>
          <w:b/>
          <w:color w:val="auto"/>
          <w:sz w:val="52"/>
          <w:szCs w:val="52"/>
          <w:lang w:eastAsia="zh-CN"/>
        </w:rPr>
        <w:t>（</w:t>
      </w:r>
      <w:r>
        <w:rPr>
          <w:rFonts w:hint="eastAsia" w:ascii="方正小标宋简体" w:hAnsi="方正小标宋简体" w:eastAsia="方正小标宋简体" w:cs="方正小标宋简体"/>
          <w:b/>
          <w:color w:val="auto"/>
          <w:sz w:val="52"/>
          <w:szCs w:val="52"/>
        </w:rPr>
        <w:t>2026版</w:t>
      </w:r>
      <w:r>
        <w:rPr>
          <w:rFonts w:hint="eastAsia" w:ascii="方正小标宋简体" w:hAnsi="方正小标宋简体" w:eastAsia="方正小标宋简体" w:cs="方正小标宋简体"/>
          <w:b/>
          <w:color w:val="auto"/>
          <w:sz w:val="52"/>
          <w:szCs w:val="52"/>
          <w:lang w:eastAsia="zh-CN"/>
        </w:rPr>
        <w:t>）</w:t>
      </w:r>
    </w:p>
    <w:p w14:paraId="24EA2D75">
      <w:pPr>
        <w:spacing w:before="120" w:after="120" w:line="288" w:lineRule="auto"/>
        <w:ind w:left="0" w:firstLine="0"/>
        <w:jc w:val="center"/>
        <w:rPr>
          <w:rFonts w:ascii="Arial" w:hAnsi="Arial" w:eastAsia="等线" w:cs="Arial"/>
          <w:color w:val="auto"/>
          <w:sz w:val="22"/>
        </w:rPr>
      </w:pPr>
    </w:p>
    <w:p w14:paraId="32BD061D">
      <w:pPr>
        <w:spacing w:before="120" w:after="120" w:line="288" w:lineRule="auto"/>
        <w:ind w:left="0" w:firstLine="0"/>
        <w:jc w:val="center"/>
        <w:rPr>
          <w:rFonts w:ascii="Arial" w:hAnsi="Arial" w:eastAsia="等线" w:cs="Arial"/>
          <w:color w:val="auto"/>
          <w:sz w:val="22"/>
        </w:rPr>
      </w:pPr>
    </w:p>
    <w:p w14:paraId="5FE68AA3">
      <w:pPr>
        <w:spacing w:before="120" w:after="120" w:line="288" w:lineRule="auto"/>
        <w:ind w:left="0" w:firstLine="0"/>
        <w:jc w:val="center"/>
        <w:rPr>
          <w:rFonts w:ascii="Arial" w:hAnsi="Arial" w:eastAsia="等线" w:cs="Arial"/>
          <w:color w:val="auto"/>
          <w:sz w:val="22"/>
        </w:rPr>
      </w:pPr>
    </w:p>
    <w:p w14:paraId="78BD54F6">
      <w:pPr>
        <w:spacing w:before="120" w:after="120" w:line="288" w:lineRule="auto"/>
        <w:ind w:left="0" w:firstLine="0"/>
        <w:jc w:val="center"/>
        <w:rPr>
          <w:rFonts w:ascii="Arial" w:hAnsi="Arial" w:eastAsia="等线" w:cs="Arial"/>
          <w:color w:val="auto"/>
          <w:sz w:val="22"/>
        </w:rPr>
      </w:pPr>
    </w:p>
    <w:p w14:paraId="311D55E7">
      <w:pPr>
        <w:spacing w:before="120" w:after="120" w:line="288" w:lineRule="auto"/>
        <w:ind w:left="0" w:firstLine="0"/>
        <w:jc w:val="center"/>
        <w:rPr>
          <w:rFonts w:ascii="Arial" w:hAnsi="Arial" w:eastAsia="等线" w:cs="Arial"/>
          <w:color w:val="auto"/>
          <w:sz w:val="22"/>
        </w:rPr>
      </w:pPr>
    </w:p>
    <w:p w14:paraId="5927EE11">
      <w:pPr>
        <w:spacing w:before="120" w:after="120" w:line="288" w:lineRule="auto"/>
        <w:ind w:left="0" w:firstLine="0"/>
        <w:jc w:val="center"/>
        <w:rPr>
          <w:rFonts w:ascii="Arial" w:hAnsi="Arial" w:eastAsia="等线" w:cs="Arial"/>
          <w:color w:val="auto"/>
          <w:sz w:val="22"/>
        </w:rPr>
      </w:pPr>
    </w:p>
    <w:p w14:paraId="4E70B212">
      <w:pPr>
        <w:spacing w:before="120" w:after="120" w:line="288" w:lineRule="auto"/>
        <w:ind w:left="0" w:firstLine="0"/>
        <w:jc w:val="center"/>
        <w:rPr>
          <w:rFonts w:ascii="Arial" w:hAnsi="Arial" w:eastAsia="等线" w:cs="Arial"/>
          <w:color w:val="auto"/>
          <w:sz w:val="22"/>
        </w:rPr>
      </w:pPr>
    </w:p>
    <w:p w14:paraId="3249114A">
      <w:pPr>
        <w:spacing w:before="120" w:after="120" w:line="288" w:lineRule="auto"/>
        <w:ind w:left="0" w:firstLine="0"/>
        <w:jc w:val="center"/>
        <w:rPr>
          <w:rFonts w:ascii="Arial" w:hAnsi="Arial" w:eastAsia="等线" w:cs="Arial"/>
          <w:color w:val="auto"/>
          <w:sz w:val="22"/>
        </w:rPr>
      </w:pPr>
    </w:p>
    <w:p w14:paraId="763BA0CF">
      <w:pPr>
        <w:spacing w:before="120" w:after="120" w:line="288" w:lineRule="auto"/>
        <w:ind w:left="0" w:firstLine="0"/>
        <w:jc w:val="center"/>
        <w:rPr>
          <w:rFonts w:ascii="Arial" w:hAnsi="Arial" w:eastAsia="等线" w:cs="Arial"/>
          <w:color w:val="auto"/>
          <w:sz w:val="22"/>
        </w:rPr>
      </w:pPr>
    </w:p>
    <w:p w14:paraId="016ABD0F">
      <w:pPr>
        <w:spacing w:before="120" w:after="120" w:line="288" w:lineRule="auto"/>
        <w:ind w:left="0" w:firstLine="0"/>
        <w:jc w:val="center"/>
        <w:rPr>
          <w:rFonts w:ascii="Arial" w:hAnsi="Arial" w:eastAsia="等线" w:cs="Arial"/>
          <w:color w:val="auto"/>
          <w:sz w:val="22"/>
        </w:rPr>
      </w:pPr>
    </w:p>
    <w:p w14:paraId="48137B4A">
      <w:pPr>
        <w:spacing w:before="120" w:after="120" w:line="288" w:lineRule="auto"/>
        <w:ind w:left="0" w:firstLine="0"/>
        <w:jc w:val="center"/>
        <w:rPr>
          <w:rFonts w:ascii="Arial" w:hAnsi="Arial" w:eastAsia="等线" w:cs="Arial"/>
          <w:color w:val="auto"/>
          <w:sz w:val="22"/>
        </w:rPr>
      </w:pPr>
    </w:p>
    <w:p w14:paraId="790929B1">
      <w:pPr>
        <w:spacing w:before="120" w:after="120" w:line="288" w:lineRule="auto"/>
        <w:ind w:left="0" w:firstLine="0"/>
        <w:jc w:val="center"/>
        <w:rPr>
          <w:rFonts w:ascii="Arial" w:hAnsi="Arial" w:eastAsia="等线" w:cs="Arial"/>
          <w:color w:val="auto"/>
          <w:sz w:val="22"/>
        </w:rPr>
      </w:pPr>
    </w:p>
    <w:p w14:paraId="33BBB5BA">
      <w:pPr>
        <w:spacing w:before="120" w:after="120" w:line="288" w:lineRule="auto"/>
        <w:ind w:left="0" w:firstLine="0"/>
        <w:jc w:val="center"/>
        <w:rPr>
          <w:rFonts w:ascii="Arial" w:hAnsi="Arial" w:eastAsia="等线" w:cs="Arial"/>
          <w:color w:val="auto"/>
          <w:sz w:val="22"/>
        </w:rPr>
      </w:pPr>
    </w:p>
    <w:p w14:paraId="771144AE">
      <w:pPr>
        <w:spacing w:before="120" w:after="120" w:line="288" w:lineRule="auto"/>
        <w:ind w:left="0" w:firstLine="0"/>
        <w:jc w:val="center"/>
        <w:rPr>
          <w:rFonts w:ascii="Arial" w:hAnsi="Arial" w:eastAsia="等线" w:cs="Arial"/>
          <w:color w:val="auto"/>
          <w:sz w:val="22"/>
        </w:rPr>
      </w:pPr>
    </w:p>
    <w:p w14:paraId="516306C1">
      <w:pPr>
        <w:spacing w:before="120" w:after="120" w:line="288" w:lineRule="auto"/>
        <w:ind w:left="0" w:firstLine="0"/>
        <w:jc w:val="center"/>
        <w:rPr>
          <w:rFonts w:ascii="Arial" w:hAnsi="Arial" w:eastAsia="等线" w:cs="Arial"/>
          <w:color w:val="auto"/>
          <w:sz w:val="22"/>
        </w:rPr>
      </w:pPr>
    </w:p>
    <w:p w14:paraId="4F989E62">
      <w:pPr>
        <w:spacing w:before="120" w:after="120" w:line="288" w:lineRule="auto"/>
        <w:ind w:left="0" w:firstLine="0"/>
        <w:jc w:val="center"/>
        <w:rPr>
          <w:rFonts w:ascii="Arial" w:hAnsi="Arial" w:eastAsia="等线" w:cs="Arial"/>
          <w:color w:val="auto"/>
          <w:sz w:val="22"/>
        </w:rPr>
      </w:pPr>
    </w:p>
    <w:p w14:paraId="5EDA5DBD">
      <w:pPr>
        <w:spacing w:before="120" w:after="120" w:line="288" w:lineRule="auto"/>
        <w:ind w:left="0" w:firstLine="0"/>
        <w:jc w:val="center"/>
        <w:rPr>
          <w:rFonts w:hint="eastAsia" w:ascii="方正小标宋简体" w:hAnsi="方正小标宋简体" w:eastAsia="方正小标宋简体" w:cs="方正小标宋简体"/>
          <w:color w:val="auto"/>
          <w:sz w:val="52"/>
          <w:szCs w:val="52"/>
        </w:rPr>
      </w:pPr>
    </w:p>
    <w:p w14:paraId="2A58EBDE">
      <w:pPr>
        <w:spacing w:before="120" w:after="120" w:line="288" w:lineRule="auto"/>
        <w:ind w:left="0" w:firstLine="0"/>
        <w:jc w:val="center"/>
        <w:rPr>
          <w:rFonts w:hint="eastAsia" w:ascii="方正小标宋简体" w:hAnsi="方正小标宋简体" w:eastAsia="方正小标宋简体" w:cs="方正小标宋简体"/>
          <w:color w:val="auto"/>
          <w:sz w:val="52"/>
          <w:szCs w:val="52"/>
        </w:rPr>
      </w:pPr>
    </w:p>
    <w:p w14:paraId="24C877B2">
      <w:pPr>
        <w:spacing w:before="120" w:after="120" w:line="288" w:lineRule="auto"/>
        <w:ind w:left="0" w:firstLine="0"/>
        <w:jc w:val="center"/>
        <w:rPr>
          <w:rFonts w:hint="eastAsia" w:ascii="方正小标宋简体" w:hAnsi="方正小标宋简体" w:eastAsia="方正小标宋简体" w:cs="方正小标宋简体"/>
          <w:color w:val="auto"/>
          <w:sz w:val="52"/>
          <w:szCs w:val="52"/>
        </w:rPr>
      </w:pPr>
    </w:p>
    <w:p w14:paraId="12FDC47A">
      <w:pPr>
        <w:spacing w:before="120" w:after="120" w:line="288" w:lineRule="auto"/>
        <w:ind w:left="0" w:firstLine="0"/>
        <w:jc w:val="center"/>
        <w:rPr>
          <w:rFonts w:hint="eastAsia" w:ascii="方正小标宋简体" w:hAnsi="方正小标宋简体" w:eastAsia="方正小标宋简体" w:cs="方正小标宋简体"/>
          <w:color w:val="auto"/>
          <w:sz w:val="52"/>
          <w:szCs w:val="52"/>
        </w:rPr>
      </w:pPr>
      <w:r>
        <w:rPr>
          <w:rFonts w:hint="eastAsia" w:ascii="方正小标宋简体" w:hAnsi="方正小标宋简体" w:eastAsia="方正小标宋简体" w:cs="方正小标宋简体"/>
          <w:color w:val="auto"/>
          <w:sz w:val="52"/>
          <w:szCs w:val="52"/>
        </w:rPr>
        <w:t>肃南县突发生态环境事件应急预案</w:t>
      </w:r>
    </w:p>
    <w:p w14:paraId="53DBC565">
      <w:pPr>
        <w:spacing w:before="120" w:after="120" w:line="288" w:lineRule="auto"/>
        <w:ind w:left="0" w:firstLine="0"/>
        <w:jc w:val="center"/>
        <w:rPr>
          <w:rFonts w:hint="eastAsia" w:ascii="方正小标宋简体" w:hAnsi="方正小标宋简体" w:eastAsia="方正小标宋简体" w:cs="方正小标宋简体"/>
          <w:color w:val="auto"/>
          <w:sz w:val="52"/>
          <w:szCs w:val="52"/>
        </w:rPr>
      </w:pPr>
    </w:p>
    <w:p w14:paraId="6D293F73">
      <w:pPr>
        <w:spacing w:before="120" w:after="120" w:line="288" w:lineRule="auto"/>
        <w:ind w:left="0" w:firstLine="0"/>
        <w:jc w:val="center"/>
        <w:rPr>
          <w:rFonts w:hint="eastAsia" w:ascii="方正小标宋简体" w:hAnsi="方正小标宋简体" w:eastAsia="方正小标宋简体" w:cs="方正小标宋简体"/>
          <w:color w:val="auto"/>
          <w:sz w:val="52"/>
          <w:szCs w:val="52"/>
        </w:rPr>
      </w:pPr>
      <w:r>
        <w:rPr>
          <w:rFonts w:hint="eastAsia" w:ascii="方正小标宋简体" w:hAnsi="方正小标宋简体" w:eastAsia="方正小标宋简体" w:cs="方正小标宋简体"/>
          <w:color w:val="auto"/>
          <w:sz w:val="52"/>
          <w:szCs w:val="52"/>
        </w:rPr>
        <w:t>资</w:t>
      </w:r>
    </w:p>
    <w:p w14:paraId="6236BBD2">
      <w:pPr>
        <w:spacing w:before="120" w:after="120" w:line="288" w:lineRule="auto"/>
        <w:ind w:left="0" w:firstLine="0"/>
        <w:jc w:val="center"/>
        <w:rPr>
          <w:rFonts w:hint="eastAsia" w:ascii="方正小标宋简体" w:hAnsi="方正小标宋简体" w:eastAsia="方正小标宋简体" w:cs="方正小标宋简体"/>
          <w:color w:val="auto"/>
          <w:sz w:val="52"/>
          <w:szCs w:val="52"/>
        </w:rPr>
      </w:pPr>
      <w:r>
        <w:rPr>
          <w:rFonts w:hint="eastAsia" w:ascii="方正小标宋简体" w:hAnsi="方正小标宋简体" w:eastAsia="方正小标宋简体" w:cs="方正小标宋简体"/>
          <w:color w:val="auto"/>
          <w:sz w:val="52"/>
          <w:szCs w:val="52"/>
        </w:rPr>
        <w:t>料</w:t>
      </w:r>
    </w:p>
    <w:p w14:paraId="1BF8B307">
      <w:pPr>
        <w:spacing w:before="120" w:after="120" w:line="288" w:lineRule="auto"/>
        <w:ind w:left="0" w:firstLine="0"/>
        <w:jc w:val="center"/>
        <w:rPr>
          <w:rFonts w:hint="eastAsia" w:ascii="方正小标宋简体" w:hAnsi="方正小标宋简体" w:eastAsia="方正小标宋简体" w:cs="方正小标宋简体"/>
          <w:color w:val="auto"/>
          <w:sz w:val="52"/>
          <w:szCs w:val="52"/>
        </w:rPr>
      </w:pPr>
      <w:r>
        <w:rPr>
          <w:rFonts w:hint="eastAsia" w:ascii="方正小标宋简体" w:hAnsi="方正小标宋简体" w:eastAsia="方正小标宋简体" w:cs="方正小标宋简体"/>
          <w:color w:val="auto"/>
          <w:sz w:val="52"/>
          <w:szCs w:val="52"/>
        </w:rPr>
        <w:t>汇</w:t>
      </w:r>
    </w:p>
    <w:p w14:paraId="5405D224">
      <w:pPr>
        <w:spacing w:before="120" w:after="120" w:line="288" w:lineRule="auto"/>
        <w:ind w:left="0" w:firstLine="0"/>
        <w:jc w:val="center"/>
        <w:rPr>
          <w:rFonts w:hint="eastAsia" w:ascii="方正小标宋简体" w:hAnsi="方正小标宋简体" w:eastAsia="方正小标宋简体" w:cs="方正小标宋简体"/>
          <w:color w:val="auto"/>
          <w:sz w:val="52"/>
          <w:szCs w:val="52"/>
        </w:rPr>
      </w:pPr>
      <w:r>
        <w:rPr>
          <w:rFonts w:hint="eastAsia" w:ascii="方正小标宋简体" w:hAnsi="方正小标宋简体" w:eastAsia="方正小标宋简体" w:cs="方正小标宋简体"/>
          <w:color w:val="auto"/>
          <w:sz w:val="52"/>
          <w:szCs w:val="52"/>
        </w:rPr>
        <w:t>编</w:t>
      </w:r>
    </w:p>
    <w:p w14:paraId="285CE555">
      <w:pPr>
        <w:spacing w:before="120" w:after="120" w:line="288" w:lineRule="auto"/>
        <w:ind w:left="0" w:firstLine="0"/>
        <w:jc w:val="center"/>
        <w:rPr>
          <w:rFonts w:hint="eastAsia" w:ascii="方正小标宋简体" w:hAnsi="方正小标宋简体" w:eastAsia="方正小标宋简体" w:cs="方正小标宋简体"/>
          <w:color w:val="auto"/>
          <w:sz w:val="52"/>
          <w:szCs w:val="52"/>
        </w:rPr>
      </w:pPr>
    </w:p>
    <w:p w14:paraId="27D37B0D">
      <w:pPr>
        <w:spacing w:before="120" w:after="120" w:line="288" w:lineRule="auto"/>
        <w:ind w:left="0" w:firstLine="0"/>
        <w:jc w:val="center"/>
        <w:rPr>
          <w:rFonts w:hint="eastAsia" w:ascii="方正小标宋简体" w:hAnsi="方正小标宋简体" w:eastAsia="方正小标宋简体" w:cs="方正小标宋简体"/>
          <w:color w:val="auto"/>
          <w:sz w:val="52"/>
          <w:szCs w:val="52"/>
        </w:rPr>
      </w:pPr>
      <w:r>
        <w:rPr>
          <w:rFonts w:hint="eastAsia" w:ascii="方正小标宋简体" w:hAnsi="方正小标宋简体" w:eastAsia="方正小标宋简体" w:cs="方正小标宋简体"/>
          <w:color w:val="auto"/>
          <w:sz w:val="52"/>
          <w:szCs w:val="52"/>
        </w:rPr>
        <w:t>二零二六年度</w:t>
      </w:r>
    </w:p>
    <w:p w14:paraId="2B549A2A">
      <w:pPr>
        <w:spacing w:before="120" w:after="120" w:line="288" w:lineRule="auto"/>
        <w:ind w:left="0" w:firstLine="0"/>
        <w:jc w:val="center"/>
        <w:rPr>
          <w:rFonts w:ascii="Arial" w:hAnsi="Arial" w:eastAsia="等线" w:cs="Arial"/>
          <w:color w:val="auto"/>
          <w:sz w:val="22"/>
        </w:rPr>
      </w:pPr>
    </w:p>
    <w:p w14:paraId="22135BBA">
      <w:pPr>
        <w:spacing w:before="120" w:after="120" w:line="288" w:lineRule="auto"/>
        <w:ind w:left="0" w:firstLine="0"/>
        <w:jc w:val="center"/>
        <w:rPr>
          <w:rFonts w:ascii="Arial" w:hAnsi="Arial" w:eastAsia="等线" w:cs="Arial"/>
          <w:color w:val="auto"/>
          <w:sz w:val="22"/>
        </w:rPr>
      </w:pPr>
    </w:p>
    <w:p w14:paraId="20082547">
      <w:pPr>
        <w:spacing w:before="120" w:after="120" w:line="288" w:lineRule="auto"/>
        <w:ind w:left="0" w:firstLine="0"/>
        <w:jc w:val="center"/>
        <w:rPr>
          <w:rFonts w:ascii="Arial" w:hAnsi="Arial" w:eastAsia="等线" w:cs="Arial"/>
          <w:color w:val="auto"/>
          <w:sz w:val="22"/>
        </w:rPr>
      </w:pPr>
    </w:p>
    <w:p w14:paraId="09FC1B8C">
      <w:pPr>
        <w:spacing w:before="120" w:after="120" w:line="288" w:lineRule="auto"/>
        <w:ind w:left="0" w:firstLine="0"/>
        <w:jc w:val="center"/>
        <w:rPr>
          <w:rFonts w:ascii="Arial" w:hAnsi="Arial" w:eastAsia="等线" w:cs="Arial"/>
          <w:color w:val="auto"/>
          <w:sz w:val="22"/>
        </w:rPr>
      </w:pPr>
    </w:p>
    <w:p w14:paraId="7737CD46">
      <w:pPr>
        <w:spacing w:before="120" w:after="120" w:line="288" w:lineRule="auto"/>
        <w:ind w:left="0" w:firstLine="0"/>
        <w:jc w:val="center"/>
        <w:rPr>
          <w:rFonts w:ascii="Arial" w:hAnsi="Arial" w:eastAsia="等线" w:cs="Arial"/>
          <w:color w:val="auto"/>
          <w:sz w:val="22"/>
        </w:rPr>
      </w:pPr>
    </w:p>
    <w:p w14:paraId="1D3E2DDA">
      <w:pPr>
        <w:spacing w:before="120" w:after="120" w:line="288" w:lineRule="auto"/>
        <w:ind w:left="0" w:firstLine="0"/>
        <w:jc w:val="center"/>
        <w:rPr>
          <w:rFonts w:ascii="Arial" w:hAnsi="Arial" w:eastAsia="等线" w:cs="Arial"/>
          <w:color w:val="auto"/>
          <w:sz w:val="22"/>
        </w:rPr>
      </w:pPr>
    </w:p>
    <w:p w14:paraId="35F68D71">
      <w:pPr>
        <w:spacing w:before="120" w:after="120" w:line="288" w:lineRule="auto"/>
        <w:ind w:left="0" w:firstLine="0"/>
        <w:jc w:val="center"/>
        <w:rPr>
          <w:rFonts w:hint="eastAsia" w:ascii="楷体_GB2312" w:hAnsi="楷体_GB2312" w:eastAsia="楷体_GB2312" w:cs="楷体_GB2312"/>
          <w:color w:val="auto"/>
          <w:sz w:val="32"/>
          <w:szCs w:val="32"/>
        </w:rPr>
      </w:pPr>
    </w:p>
    <w:p w14:paraId="1DEB0227">
      <w:pPr>
        <w:spacing w:before="120" w:after="120" w:line="288" w:lineRule="auto"/>
        <w:ind w:left="0" w:firstLine="0"/>
        <w:jc w:val="center"/>
        <w:rPr>
          <w:rFonts w:hint="eastAsia" w:ascii="楷体_GB2312" w:hAnsi="楷体_GB2312" w:eastAsia="楷体_GB2312" w:cs="楷体_GB2312"/>
          <w:color w:val="auto"/>
          <w:sz w:val="44"/>
          <w:szCs w:val="44"/>
        </w:rPr>
      </w:pPr>
    </w:p>
    <w:p w14:paraId="6957A90D">
      <w:pPr>
        <w:spacing w:before="120" w:after="120" w:line="288" w:lineRule="auto"/>
        <w:ind w:left="0" w:firstLine="0"/>
        <w:jc w:val="center"/>
        <w:rPr>
          <w:rFonts w:hint="eastAsia" w:ascii="楷体_GB2312" w:hAnsi="楷体_GB2312" w:eastAsia="楷体_GB2312" w:cs="楷体_GB2312"/>
          <w:color w:val="auto"/>
          <w:sz w:val="44"/>
          <w:szCs w:val="44"/>
        </w:rPr>
      </w:pPr>
      <w:r>
        <w:rPr>
          <w:rFonts w:hint="eastAsia" w:ascii="楷体_GB2312" w:hAnsi="楷体_GB2312" w:eastAsia="楷体_GB2312" w:cs="楷体_GB2312"/>
          <w:color w:val="auto"/>
          <w:sz w:val="44"/>
          <w:szCs w:val="44"/>
        </w:rPr>
        <w:t>目录</w:t>
      </w:r>
    </w:p>
    <w:p w14:paraId="27205068">
      <w:pPr>
        <w:numPr>
          <w:ilvl w:val="0"/>
          <w:numId w:val="1"/>
        </w:numPr>
        <w:spacing w:before="120" w:after="120" w:line="288" w:lineRule="auto"/>
        <w:ind w:left="0"/>
        <w:jc w:val="left"/>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关于印发肃南县地震应急预案等65个应急预案的通知</w:t>
      </w:r>
    </w:p>
    <w:p w14:paraId="4A4D6441">
      <w:pPr>
        <w:numPr>
          <w:ilvl w:val="0"/>
          <w:numId w:val="2"/>
        </w:numPr>
        <w:spacing w:before="120" w:after="120" w:line="288" w:lineRule="auto"/>
        <w:ind w:left="0"/>
        <w:jc w:val="left"/>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肃南县突发生态环境事件应急预案</w:t>
      </w:r>
    </w:p>
    <w:p w14:paraId="54AF5CC0">
      <w:pPr>
        <w:numPr>
          <w:ilvl w:val="0"/>
          <w:numId w:val="3"/>
        </w:numPr>
        <w:spacing w:before="120" w:after="120" w:line="288" w:lineRule="auto"/>
        <w:ind w:left="0"/>
        <w:jc w:val="both"/>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肃南县</w:t>
      </w:r>
      <w:r>
        <w:rPr>
          <w:rFonts w:hint="eastAsia" w:ascii="楷体_GB2312" w:hAnsi="楷体_GB2312" w:eastAsia="楷体_GB2312" w:cs="楷体_GB2312"/>
          <w:color w:val="auto"/>
          <w:sz w:val="32"/>
          <w:szCs w:val="32"/>
          <w:lang w:eastAsia="zh-CN"/>
        </w:rPr>
        <w:t>突发环境事件</w:t>
      </w:r>
      <w:r>
        <w:rPr>
          <w:rFonts w:hint="eastAsia" w:ascii="楷体_GB2312" w:hAnsi="楷体_GB2312" w:eastAsia="楷体_GB2312" w:cs="楷体_GB2312"/>
          <w:color w:val="auto"/>
          <w:sz w:val="32"/>
          <w:szCs w:val="32"/>
        </w:rPr>
        <w:t>风险评估报告</w:t>
      </w:r>
    </w:p>
    <w:p w14:paraId="1236C8B1">
      <w:pPr>
        <w:numPr>
          <w:ilvl w:val="0"/>
          <w:numId w:val="4"/>
        </w:numPr>
        <w:spacing w:before="120" w:after="120" w:line="288" w:lineRule="auto"/>
        <w:ind w:left="0"/>
        <w:jc w:val="both"/>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肃南县</w:t>
      </w:r>
      <w:r>
        <w:rPr>
          <w:rFonts w:hint="eastAsia" w:ascii="楷体_GB2312" w:hAnsi="楷体_GB2312" w:eastAsia="楷体_GB2312" w:cs="楷体_GB2312"/>
          <w:color w:val="auto"/>
          <w:sz w:val="32"/>
          <w:szCs w:val="32"/>
          <w:lang w:eastAsia="zh-CN"/>
        </w:rPr>
        <w:t>突发环境事件</w:t>
      </w:r>
      <w:r>
        <w:rPr>
          <w:rFonts w:hint="eastAsia" w:ascii="楷体_GB2312" w:hAnsi="楷体_GB2312" w:eastAsia="楷体_GB2312" w:cs="楷体_GB2312"/>
          <w:color w:val="auto"/>
          <w:sz w:val="32"/>
          <w:szCs w:val="32"/>
        </w:rPr>
        <w:t>调查报告</w:t>
      </w:r>
    </w:p>
    <w:p w14:paraId="68B2675F">
      <w:pPr>
        <w:numPr>
          <w:ilvl w:val="0"/>
          <w:numId w:val="5"/>
        </w:numPr>
        <w:spacing w:before="120" w:after="120" w:line="288" w:lineRule="auto"/>
        <w:ind w:left="0"/>
        <w:jc w:val="both"/>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肃南县</w:t>
      </w:r>
      <w:r>
        <w:rPr>
          <w:rFonts w:hint="eastAsia" w:ascii="楷体_GB2312" w:hAnsi="楷体_GB2312" w:eastAsia="楷体_GB2312" w:cs="楷体_GB2312"/>
          <w:color w:val="auto"/>
          <w:sz w:val="32"/>
          <w:szCs w:val="32"/>
          <w:lang w:eastAsia="zh-CN"/>
        </w:rPr>
        <w:t>突发环境事件</w:t>
      </w:r>
      <w:r>
        <w:rPr>
          <w:rFonts w:hint="eastAsia" w:ascii="楷体_GB2312" w:hAnsi="楷体_GB2312" w:eastAsia="楷体_GB2312" w:cs="楷体_GB2312"/>
          <w:color w:val="auto"/>
          <w:sz w:val="32"/>
          <w:szCs w:val="32"/>
        </w:rPr>
        <w:t>行动方案</w:t>
      </w:r>
    </w:p>
    <w:p w14:paraId="2F0994E6">
      <w:pPr>
        <w:numPr>
          <w:ilvl w:val="0"/>
          <w:numId w:val="6"/>
        </w:numPr>
        <w:spacing w:before="120" w:after="120" w:line="288" w:lineRule="auto"/>
        <w:ind w:left="0"/>
        <w:jc w:val="both"/>
        <w:rPr>
          <w:rFonts w:hint="eastAsia" w:ascii="仿宋_GB2312" w:hAnsi="仿宋_GB2312" w:eastAsia="仿宋_GB2312" w:cs="仿宋_GB2312"/>
          <w:color w:val="auto"/>
          <w:sz w:val="32"/>
          <w:szCs w:val="32"/>
          <w:highlight w:val="none"/>
          <w:lang w:val="en-US" w:eastAsia="zh-CN"/>
        </w:rPr>
        <w:sectPr>
          <w:pgSz w:w="11906" w:h="16838"/>
          <w:pgMar w:top="1440" w:right="1800" w:bottom="1440" w:left="1800" w:header="851" w:footer="992" w:gutter="0"/>
          <w:cols w:space="720" w:num="1"/>
          <w:docGrid w:type="lines" w:linePitch="312" w:charSpace="0"/>
        </w:sectPr>
      </w:pPr>
      <w:r>
        <w:rPr>
          <w:rFonts w:hint="eastAsia" w:ascii="楷体_GB2312" w:hAnsi="楷体_GB2312" w:eastAsia="楷体_GB2312" w:cs="楷体_GB2312"/>
          <w:color w:val="auto"/>
          <w:sz w:val="32"/>
          <w:szCs w:val="32"/>
        </w:rPr>
        <w:t>肃南县</w:t>
      </w:r>
      <w:r>
        <w:rPr>
          <w:rFonts w:hint="eastAsia" w:ascii="楷体_GB2312" w:hAnsi="楷体_GB2312" w:eastAsia="楷体_GB2312" w:cs="楷体_GB2312"/>
          <w:color w:val="auto"/>
          <w:sz w:val="32"/>
          <w:szCs w:val="32"/>
          <w:lang w:eastAsia="zh-CN"/>
        </w:rPr>
        <w:t>突发环境事件</w:t>
      </w:r>
      <w:r>
        <w:rPr>
          <w:rFonts w:hint="eastAsia" w:ascii="楷体_GB2312" w:hAnsi="楷体_GB2312" w:eastAsia="楷体_GB2312" w:cs="楷体_GB2312"/>
          <w:color w:val="auto"/>
          <w:sz w:val="32"/>
          <w:szCs w:val="32"/>
        </w:rPr>
        <w:t>工作手册</w:t>
      </w:r>
    </w:p>
    <w:p w14:paraId="290ADBB5">
      <w:pPr>
        <w:spacing w:before="120" w:after="120" w:line="288" w:lineRule="auto"/>
        <w:ind w:left="0"/>
        <w:jc w:val="left"/>
        <w:rPr>
          <w:color w:val="auto"/>
        </w:rPr>
      </w:pPr>
    </w:p>
    <w:p w14:paraId="5870EDE8">
      <w:pPr>
        <w:spacing w:before="120" w:after="120" w:line="288" w:lineRule="auto"/>
        <w:ind w:left="0"/>
        <w:jc w:val="left"/>
        <w:rPr>
          <w:color w:val="auto"/>
        </w:rPr>
      </w:pPr>
    </w:p>
    <w:p w14:paraId="589C5F46">
      <w:pPr>
        <w:spacing w:before="120" w:after="120" w:line="288" w:lineRule="auto"/>
        <w:ind w:left="0"/>
        <w:jc w:val="left"/>
        <w:rPr>
          <w:color w:val="auto"/>
        </w:rPr>
      </w:pPr>
    </w:p>
    <w:p w14:paraId="67D9515B">
      <w:pPr>
        <w:spacing w:before="120" w:after="120" w:line="288" w:lineRule="auto"/>
        <w:ind w:left="0"/>
        <w:jc w:val="left"/>
        <w:rPr>
          <w:color w:val="auto"/>
        </w:rPr>
      </w:pPr>
    </w:p>
    <w:p w14:paraId="05D24956">
      <w:pPr>
        <w:spacing w:before="120" w:after="120" w:line="288" w:lineRule="auto"/>
        <w:ind w:left="0"/>
        <w:jc w:val="left"/>
        <w:rPr>
          <w:color w:val="auto"/>
        </w:rPr>
      </w:pPr>
    </w:p>
    <w:p w14:paraId="3CFE8DEF">
      <w:pPr>
        <w:spacing w:before="120" w:after="120" w:line="288" w:lineRule="auto"/>
        <w:ind w:left="0"/>
        <w:jc w:val="left"/>
        <w:rPr>
          <w:color w:val="auto"/>
        </w:rPr>
      </w:pPr>
    </w:p>
    <w:p w14:paraId="35760994">
      <w:pPr>
        <w:spacing w:before="120" w:after="120" w:line="288" w:lineRule="auto"/>
        <w:ind w:left="0"/>
        <w:jc w:val="left"/>
        <w:rPr>
          <w:color w:val="auto"/>
        </w:rPr>
      </w:pPr>
    </w:p>
    <w:p w14:paraId="5E8BFD2B">
      <w:pPr>
        <w:spacing w:before="120" w:after="120" w:line="288" w:lineRule="auto"/>
        <w:ind w:left="0"/>
        <w:jc w:val="left"/>
        <w:rPr>
          <w:color w:val="auto"/>
        </w:rPr>
      </w:pPr>
    </w:p>
    <w:p w14:paraId="1521C5AA">
      <w:pPr>
        <w:spacing w:before="120" w:after="120" w:line="288" w:lineRule="auto"/>
        <w:ind w:left="0"/>
        <w:jc w:val="left"/>
        <w:rPr>
          <w:color w:val="auto"/>
        </w:rPr>
      </w:pPr>
    </w:p>
    <w:p w14:paraId="7D1FB7F2">
      <w:pPr>
        <w:spacing w:before="120" w:after="120" w:line="288" w:lineRule="auto"/>
        <w:ind w:left="0"/>
        <w:jc w:val="left"/>
        <w:rPr>
          <w:color w:val="auto"/>
        </w:rPr>
      </w:pPr>
    </w:p>
    <w:p w14:paraId="53803A94">
      <w:pPr>
        <w:spacing w:before="120" w:after="120" w:line="288" w:lineRule="auto"/>
        <w:ind w:left="0"/>
        <w:jc w:val="left"/>
        <w:rPr>
          <w:color w:val="auto"/>
        </w:rPr>
      </w:pPr>
    </w:p>
    <w:p w14:paraId="02932DEA">
      <w:pPr>
        <w:spacing w:before="120" w:after="120" w:line="288" w:lineRule="auto"/>
        <w:ind w:left="0"/>
        <w:jc w:val="left"/>
        <w:rPr>
          <w:color w:val="auto"/>
        </w:rPr>
      </w:pPr>
    </w:p>
    <w:p w14:paraId="46F03095">
      <w:pPr>
        <w:spacing w:before="120" w:after="120" w:line="288" w:lineRule="auto"/>
        <w:ind w:left="0"/>
        <w:jc w:val="left"/>
        <w:rPr>
          <w:color w:val="auto"/>
        </w:rPr>
      </w:pPr>
    </w:p>
    <w:p w14:paraId="4E86B23B">
      <w:pPr>
        <w:spacing w:before="120" w:after="120" w:line="288" w:lineRule="auto"/>
        <w:ind w:left="0"/>
        <w:jc w:val="left"/>
        <w:rPr>
          <w:color w:val="auto"/>
        </w:rPr>
      </w:pPr>
    </w:p>
    <w:p w14:paraId="500EE800">
      <w:pPr>
        <w:spacing w:before="120" w:after="120" w:line="288" w:lineRule="auto"/>
        <w:ind w:left="0"/>
        <w:jc w:val="left"/>
        <w:rPr>
          <w:color w:val="auto"/>
        </w:rPr>
      </w:pPr>
    </w:p>
    <w:p w14:paraId="1610C552">
      <w:pPr>
        <w:spacing w:before="120" w:after="120" w:line="288" w:lineRule="auto"/>
        <w:ind w:left="0"/>
        <w:jc w:val="left"/>
        <w:rPr>
          <w:color w:val="auto"/>
        </w:rPr>
      </w:pPr>
    </w:p>
    <w:p w14:paraId="16FB4FCE">
      <w:pPr>
        <w:spacing w:before="120" w:after="120" w:line="288" w:lineRule="auto"/>
        <w:ind w:left="0"/>
        <w:jc w:val="left"/>
        <w:rPr>
          <w:color w:val="auto"/>
        </w:rPr>
      </w:pPr>
    </w:p>
    <w:p w14:paraId="12043834">
      <w:pPr>
        <w:spacing w:before="120" w:after="120" w:line="288" w:lineRule="auto"/>
        <w:ind w:left="0" w:firstLine="0"/>
        <w:jc w:val="center"/>
        <w:rPr>
          <w:rFonts w:hint="eastAsia" w:ascii="方正小标宋简体" w:hAnsi="方正小标宋简体" w:eastAsia="方正小标宋简体" w:cs="方正小标宋简体"/>
          <w:color w:val="auto"/>
          <w:sz w:val="44"/>
          <w:szCs w:val="44"/>
        </w:rPr>
      </w:pPr>
    </w:p>
    <w:p w14:paraId="606833F8">
      <w:pPr>
        <w:spacing w:before="120" w:after="120" w:line="288" w:lineRule="auto"/>
        <w:ind w:left="0" w:firstLine="0"/>
        <w:jc w:val="cente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肃</w:t>
      </w:r>
    </w:p>
    <w:p w14:paraId="038C81D2">
      <w:pPr>
        <w:spacing w:before="120" w:after="120" w:line="288" w:lineRule="auto"/>
        <w:ind w:left="0" w:firstLine="0"/>
        <w:jc w:val="cente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南</w:t>
      </w:r>
    </w:p>
    <w:p w14:paraId="7218DE8B">
      <w:pPr>
        <w:spacing w:before="120" w:after="120" w:line="288" w:lineRule="auto"/>
        <w:ind w:left="0" w:firstLine="0"/>
        <w:jc w:val="cente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县</w:t>
      </w:r>
    </w:p>
    <w:p w14:paraId="4F8C0E52">
      <w:pPr>
        <w:spacing w:before="120" w:after="120" w:line="288" w:lineRule="auto"/>
        <w:ind w:left="0" w:firstLine="0"/>
        <w:jc w:val="cente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突</w:t>
      </w:r>
    </w:p>
    <w:p w14:paraId="2EC6A19C">
      <w:pPr>
        <w:spacing w:before="120" w:after="120" w:line="288" w:lineRule="auto"/>
        <w:ind w:left="0" w:firstLine="0"/>
        <w:jc w:val="cente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发</w:t>
      </w:r>
    </w:p>
    <w:p w14:paraId="290A702E">
      <w:pPr>
        <w:spacing w:before="120" w:after="120" w:line="288" w:lineRule="auto"/>
        <w:ind w:left="0" w:firstLine="0"/>
        <w:jc w:val="cente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环</w:t>
      </w:r>
    </w:p>
    <w:p w14:paraId="5487D54F">
      <w:pPr>
        <w:spacing w:before="120" w:after="120" w:line="288" w:lineRule="auto"/>
        <w:ind w:left="0" w:firstLine="0"/>
        <w:jc w:val="cente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境</w:t>
      </w:r>
    </w:p>
    <w:p w14:paraId="1A370E43">
      <w:pPr>
        <w:spacing w:before="120" w:after="120" w:line="288" w:lineRule="auto"/>
        <w:ind w:left="0" w:firstLine="0"/>
        <w:jc w:val="cente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事</w:t>
      </w:r>
    </w:p>
    <w:p w14:paraId="6E24D0DE">
      <w:pPr>
        <w:spacing w:before="120" w:after="120" w:line="288" w:lineRule="auto"/>
        <w:ind w:left="0" w:firstLine="0"/>
        <w:jc w:val="cente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件</w:t>
      </w:r>
    </w:p>
    <w:p w14:paraId="77714EE7">
      <w:pPr>
        <w:spacing w:before="120" w:after="120" w:line="288" w:lineRule="auto"/>
        <w:ind w:left="0" w:firstLine="0"/>
        <w:jc w:val="cente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应</w:t>
      </w:r>
    </w:p>
    <w:p w14:paraId="555E04BF">
      <w:pPr>
        <w:spacing w:before="120" w:after="120" w:line="288" w:lineRule="auto"/>
        <w:ind w:left="0" w:firstLine="0"/>
        <w:jc w:val="cente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急</w:t>
      </w:r>
    </w:p>
    <w:p w14:paraId="60660A57">
      <w:pPr>
        <w:spacing w:before="120" w:after="120" w:line="288" w:lineRule="auto"/>
        <w:ind w:left="0" w:firstLine="0"/>
        <w:jc w:val="cente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预</w:t>
      </w:r>
    </w:p>
    <w:p w14:paraId="68DB17EB">
      <w:pPr>
        <w:spacing w:before="120" w:after="120" w:line="288" w:lineRule="auto"/>
        <w:ind w:left="0" w:firstLine="0"/>
        <w:jc w:val="cente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案</w:t>
      </w:r>
    </w:p>
    <w:p w14:paraId="6E8E6771">
      <w:pPr>
        <w:spacing w:before="120" w:after="120" w:line="288" w:lineRule="auto"/>
        <w:ind w:left="0" w:firstLine="0"/>
        <w:jc w:val="center"/>
        <w:rPr>
          <w:rFonts w:ascii="Arial" w:hAnsi="Arial" w:eastAsia="等线" w:cs="Arial"/>
          <w:color w:val="auto"/>
          <w:sz w:val="22"/>
        </w:rPr>
      </w:pPr>
    </w:p>
    <w:p w14:paraId="7F4AE6D5">
      <w:pPr>
        <w:spacing w:before="120" w:after="120" w:line="288" w:lineRule="auto"/>
        <w:ind w:left="0" w:firstLine="0"/>
        <w:jc w:val="center"/>
        <w:rPr>
          <w:rFonts w:ascii="Arial" w:hAnsi="Arial" w:eastAsia="等线" w:cs="Arial"/>
          <w:color w:val="auto"/>
          <w:sz w:val="22"/>
        </w:rPr>
      </w:pPr>
    </w:p>
    <w:p w14:paraId="747C8B04">
      <w:pPr>
        <w:spacing w:before="120" w:after="120" w:line="288" w:lineRule="auto"/>
        <w:ind w:left="0" w:firstLine="0"/>
        <w:jc w:val="center"/>
        <w:rPr>
          <w:rFonts w:ascii="Arial" w:hAnsi="Arial" w:eastAsia="等线" w:cs="Arial"/>
          <w:color w:val="auto"/>
          <w:sz w:val="22"/>
        </w:rPr>
      </w:pPr>
    </w:p>
    <w:p w14:paraId="59287A0F">
      <w:pPr>
        <w:spacing w:before="120" w:after="120" w:line="288" w:lineRule="auto"/>
        <w:ind w:left="0" w:firstLine="0"/>
        <w:jc w:val="both"/>
        <w:rPr>
          <w:rFonts w:hint="default" w:ascii="Times New Roman" w:hAnsi="Times New Roman" w:eastAsia="等线" w:cs="Times New Roman"/>
          <w:color w:val="auto"/>
          <w:sz w:val="22"/>
        </w:rPr>
      </w:pPr>
    </w:p>
    <w:p w14:paraId="16C0E7E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方正小标宋简体" w:cs="Times New Roman"/>
          <w:sz w:val="44"/>
          <w:szCs w:val="44"/>
        </w:rPr>
        <w:t>肃南县突发生态环境事件应急预案</w:t>
      </w:r>
      <w:bookmarkStart w:id="0" w:name="heading_0"/>
    </w:p>
    <w:p w14:paraId="04F2D4F2">
      <w:pPr>
        <w:keepNext w:val="0"/>
        <w:keepLines w:val="0"/>
        <w:pageBreakBefore w:val="0"/>
        <w:widowControl w:val="0"/>
        <w:kinsoku/>
        <w:wordWrap/>
        <w:overflowPunct/>
        <w:topLinePunct w:val="0"/>
        <w:autoSpaceDE/>
        <w:autoSpaceDN/>
        <w:bidi w:val="0"/>
        <w:adjustRightInd/>
        <w:snapToGrid/>
        <w:spacing w:line="560" w:lineRule="exact"/>
        <w:ind w:firstLine="320" w:firstLineChars="1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一、总则</w:t>
      </w:r>
      <w:bookmarkEnd w:id="0"/>
    </w:p>
    <w:p w14:paraId="269C11A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sz w:val="32"/>
          <w:szCs w:val="32"/>
        </w:rPr>
      </w:pPr>
      <w:bookmarkStart w:id="1" w:name="heading_1"/>
      <w:r>
        <w:rPr>
          <w:rFonts w:hint="default" w:ascii="Times New Roman" w:hAnsi="Times New Roman" w:eastAsia="楷体_GB2312" w:cs="Times New Roman"/>
          <w:sz w:val="32"/>
          <w:szCs w:val="32"/>
        </w:rPr>
        <w:t>（一）编制目的</w:t>
      </w:r>
      <w:bookmarkEnd w:id="1"/>
    </w:p>
    <w:p w14:paraId="1DD91DD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为有效预防、及时处置肃南县境内可能发生的突发生态环境事件，规范肃南县应对突发生态环境事件程序，建立健全统一高效、科学规范、反应迅速、处置有力的应急体系和应对机制，提高政府应对突发生态环境事件的能力，将环境污染和生态破坏事件造成的损失降低到</w:t>
      </w:r>
      <w:r>
        <w:rPr>
          <w:rFonts w:hint="default" w:ascii="Times New Roman" w:hAnsi="Times New Roman" w:eastAsia="仿宋_GB2312" w:cs="Times New Roman"/>
          <w:sz w:val="32"/>
          <w:szCs w:val="32"/>
          <w:lang w:eastAsia="zh-CN"/>
        </w:rPr>
        <w:t>最低</w:t>
      </w:r>
      <w:r>
        <w:rPr>
          <w:rFonts w:hint="default" w:ascii="Times New Roman" w:hAnsi="Times New Roman" w:eastAsia="仿宋_GB2312" w:cs="Times New Roman"/>
          <w:sz w:val="32"/>
          <w:szCs w:val="32"/>
        </w:rPr>
        <w:t>程度，最大限度地保障人民群众生命财产安全及生态环境安全。</w:t>
      </w:r>
      <w:bookmarkStart w:id="2" w:name="heading_2"/>
    </w:p>
    <w:p w14:paraId="0E82547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（二）编制依据</w:t>
      </w:r>
      <w:bookmarkEnd w:id="2"/>
    </w:p>
    <w:p w14:paraId="177EDE6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中华人民共和国生态环境法典》（2026年3月12日通过，2026年8月15日起施行）《中华人民共和国环境保护法》《中华人民共和国突发事件应对法》（2024年6月28日修订，2024年11月1日起施行）《中华人民共和国水污染防治法》《中华人民共和国固体废物污染环境防治法》</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中华人民共和国大气污染防治法》</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中华人民共和国土壤污染防治法</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中华人民共和国放射性污染防治法</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国家突发生态环境事件应急预案</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突发事件应急预案管理办法》（国办发〔2024〕5号）</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突发环境事件应急管理办法</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突发环境事件信息报告办法</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突发环境事件调查处理办法</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突发环境事件应急处置阶段污染损害评估工作程序规定</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甘肃省突发生态环境事件应急预案》（甘政办发〔2026〕59号）</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张掖市突发生态环境事件应急预案</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肃南县突发事件总体应急预案》</w:t>
      </w:r>
      <w:r>
        <w:rPr>
          <w:rFonts w:hint="default" w:ascii="Times New Roman" w:hAnsi="Times New Roman" w:eastAsia="仿宋_GB2312" w:cs="Times New Roman"/>
          <w:sz w:val="32"/>
          <w:szCs w:val="32"/>
          <w:lang w:eastAsia="zh-CN"/>
        </w:rPr>
        <w:t>等。</w:t>
      </w:r>
      <w:bookmarkStart w:id="3" w:name="heading_3"/>
    </w:p>
    <w:p w14:paraId="1614A55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（三）适用范围</w:t>
      </w:r>
      <w:bookmarkEnd w:id="3"/>
    </w:p>
    <w:p w14:paraId="65A1B51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本预案适用于肃南县行政区域内突发生态环境事件应对工作。</w:t>
      </w:r>
    </w:p>
    <w:p w14:paraId="445007A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突发生态环境事件是指由于污染物排放或自然灾害、生产安全事故等因素，导致污染物或放射性物质等有毒有害物质进入大气、水体、土壤等环境介质，突然造成或可能造成环境质量下降，危及公众健康和生命财产安全，或造成生态环境破坏</w:t>
      </w:r>
      <w:r>
        <w:rPr>
          <w:rFonts w:hint="default" w:ascii="Times New Roman" w:hAnsi="Times New Roman" w:eastAsia="仿宋_GB2312" w:cs="Times New Roman"/>
          <w:sz w:val="32"/>
          <w:szCs w:val="32"/>
          <w:lang w:eastAsia="zh-CN"/>
        </w:rPr>
        <w:t>和</w:t>
      </w:r>
      <w:r>
        <w:rPr>
          <w:rFonts w:hint="default" w:ascii="Times New Roman" w:hAnsi="Times New Roman" w:eastAsia="仿宋_GB2312" w:cs="Times New Roman"/>
          <w:sz w:val="32"/>
          <w:szCs w:val="32"/>
        </w:rPr>
        <w:t>重大社会影响，需要采取紧急措施予以应对的事件，主要包括大气污染、水体污染、土壤污染等突发性环境污染事件和辐射污染事件。</w:t>
      </w:r>
    </w:p>
    <w:p w14:paraId="7F08D94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核设施及有关核活动发生的核事故所造成的辐射污染事件的应对工作按照《肃南县辐射事故应急预案》有关规定执行，重污染天气应对工作按照《肃南县重污染天气应急预案》有关规定执行。</w:t>
      </w:r>
      <w:bookmarkStart w:id="4" w:name="heading_4"/>
    </w:p>
    <w:p w14:paraId="2D8F194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w:t>
      </w:r>
      <w:r>
        <w:rPr>
          <w:rFonts w:hint="default" w:ascii="Times New Roman" w:hAnsi="Times New Roman" w:eastAsia="楷体_GB2312" w:cs="Times New Roman"/>
          <w:sz w:val="32"/>
          <w:szCs w:val="32"/>
          <w:lang w:eastAsia="zh-CN"/>
        </w:rPr>
        <w:t>四</w:t>
      </w:r>
      <w:r>
        <w:rPr>
          <w:rFonts w:hint="default" w:ascii="Times New Roman" w:hAnsi="Times New Roman" w:eastAsia="楷体_GB2312" w:cs="Times New Roman"/>
          <w:sz w:val="32"/>
          <w:szCs w:val="32"/>
        </w:rPr>
        <w:t>）工作原则</w:t>
      </w:r>
      <w:bookmarkEnd w:id="4"/>
    </w:p>
    <w:p w14:paraId="51FADF5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突发生态环境事件应对工作坚持“统一领导、分级负责，属地为主、协调联动，快速反应、科学处置，资源共享、保障有力”的原则。突发生态环境事件发生后，各级各有关部门立即按照职责分工和预案规定开展应急处置工作。</w:t>
      </w:r>
    </w:p>
    <w:p w14:paraId="1F3C1A1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bookmarkStart w:id="5" w:name="heading_5"/>
      <w:r>
        <w:rPr>
          <w:rFonts w:hint="default" w:ascii="Times New Roman" w:hAnsi="Times New Roman" w:eastAsia="仿宋_GB2312" w:cs="Times New Roman"/>
          <w:sz w:val="32"/>
          <w:szCs w:val="32"/>
        </w:rPr>
        <w:t>事件分级</w:t>
      </w:r>
      <w:bookmarkEnd w:id="5"/>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按照事件严重程度、可控性和影响范围等因素，突发生态环境事件分为特别重大（Ⅰ级）、重大（Ⅱ级）、较大（Ⅲ级）和一般（Ⅳ级）四级。</w:t>
      </w:r>
    </w:p>
    <w:p w14:paraId="1E11AAF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bookmarkStart w:id="6" w:name="heading_6"/>
      <w:r>
        <w:rPr>
          <w:rFonts w:hint="default" w:ascii="Times New Roman" w:hAnsi="Times New Roman" w:eastAsia="仿宋_GB2312" w:cs="Times New Roman"/>
          <w:sz w:val="32"/>
          <w:szCs w:val="32"/>
        </w:rPr>
        <w:t>1.特别重大突发生态环境事件</w:t>
      </w:r>
      <w:bookmarkEnd w:id="6"/>
    </w:p>
    <w:p w14:paraId="3DAC7E9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凡符合下列情形之一的，为特别重大突发生态环境事件：（1）因环境污染直接导致30人以上死亡或100人以上中毒或重伤的；（2）因环境污染需疏散、转移群众5万人以上的；（3）因环境污染造成直接经济损失1亿元以上的；（4）因环境污染造成区域生态功能丧失或国家重点保护物种灭绝的；（5）因环境污染造成地市级以上城市集中式饮用水水源地取水中断的；（6）Ⅰ、Ⅱ类放射源丢失、被盗、失控并造成大范围严重辐射污染后果的；放射性同位素和射线装置失控导致3人以上急性死亡的；放射性物质泄漏，造成大范围辐射污染后果的；（7）造成重大跨国境影响的境内突发生态环境事件。</w:t>
      </w:r>
      <w:bookmarkStart w:id="7" w:name="heading_7"/>
    </w:p>
    <w:p w14:paraId="19098DD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重大（Ⅱ级）突发生态环境事件</w:t>
      </w:r>
      <w:bookmarkEnd w:id="7"/>
    </w:p>
    <w:p w14:paraId="40DE6F2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凡符合下列情形之一的，为重大突发生态环境事件：（1）因环境污染直接导致10人以上30人以下死亡或50人以上100人以下中毒或重伤的；（2）因环境污染需疏散、转移群众1万人以上5万人以下的；（3）因环境污染造成直接经济损失2000万元以上1亿元以下的；（4）因环境污染造成区域生态功能部分丧失或国家重点保护野生动植物种群大批死亡的；（5）因环境污染造成县级城市集中式饮用水水源地取水中断的；（6）Ⅰ、Ⅱ类放射源丢失、被盗的；放射性同位素和射线装置失控导致3人以下急性死亡或者10人以上急性重度放射病、局部器官残疾的；放射性物质泄漏，造成较大范围辐射污染后果的；（7）造成跨省级行政区域影响的突发生态环境事件。</w:t>
      </w:r>
      <w:bookmarkStart w:id="8" w:name="heading_8"/>
    </w:p>
    <w:p w14:paraId="6E5E637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3.较大（Ⅲ级）突发生态环境事件</w:t>
      </w:r>
      <w:bookmarkEnd w:id="8"/>
    </w:p>
    <w:p w14:paraId="1BF6908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凡符合下列情形之一的，为较大突发生态环境事件：（1）因环境污染直接导致3人以上10人以下死亡或10人以上50人以下中毒或重伤的；（2）因环境污染需疏散、转移群众5000人以上1万人以下的；（3）因环境污染造成直接经济损失500万元以上2000万元以下的；（4）因环境污染造成国家重点保护的动植物物种受到破坏的；（5）因环境污染造成乡镇集中式饮用水水源地取水中断的；（6）Ⅲ类放射源丢失、被盗的；放射性同位素和射线装置失控导致10人以下急性重度放射病、局部器官残疾的；放射性物质泄漏，造成小范围辐射污染后果的；（7）造成跨设区的市级行政区域影响的突发生态环境事件。</w:t>
      </w:r>
      <w:bookmarkStart w:id="9" w:name="heading_9"/>
    </w:p>
    <w:p w14:paraId="650E429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一般（Ⅳ级）突发生态环境事件</w:t>
      </w:r>
      <w:bookmarkEnd w:id="9"/>
    </w:p>
    <w:p w14:paraId="4ACC7ED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凡符合下列情形之一的，为一般突发生态环境事件：（1）因环境污染直接导致3人以下死亡或10人以下中毒或重伤的；（2）因环境污染疏散、转移人员5000人以下的</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3）因环境污染造成直接经济损失500万元以下的；（4）因环境污染造成跨县级行政区域纠纷，引起一般性群体影响的；（5）Ⅳ、Ⅴ类放射源丢失、被盗的；放射性同位素和射线装置失控导致人员受到超过年剂量限值的照射的；放射性物质泄漏，造成厂区内或设施内局部辐射污染后果的；铀矿冶、伴生矿超标排放，造成环境辐射污染后果的；（6）对环境造成一定影响，尚未达到较大突发生态环境事件级别的。</w:t>
      </w:r>
    </w:p>
    <w:p w14:paraId="585B42B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上述分级标准有关数量的表述中，“以上”含本数，“以下”不含本数。</w:t>
      </w:r>
    </w:p>
    <w:p w14:paraId="7416D443">
      <w:pPr>
        <w:keepNext w:val="0"/>
        <w:keepLines w:val="0"/>
        <w:pageBreakBefore w:val="0"/>
        <w:widowControl w:val="0"/>
        <w:kinsoku/>
        <w:wordWrap/>
        <w:overflowPunct/>
        <w:topLinePunct w:val="0"/>
        <w:autoSpaceDE/>
        <w:autoSpaceDN/>
        <w:bidi w:val="0"/>
        <w:adjustRightInd/>
        <w:snapToGrid/>
        <w:spacing w:line="560" w:lineRule="exact"/>
        <w:ind w:firstLine="320" w:firstLineChars="100"/>
        <w:textAlignment w:val="auto"/>
        <w:rPr>
          <w:rFonts w:hint="default" w:ascii="Times New Roman" w:hAnsi="Times New Roman" w:eastAsia="黑体" w:cs="Times New Roman"/>
          <w:sz w:val="32"/>
          <w:szCs w:val="32"/>
        </w:rPr>
      </w:pPr>
      <w:bookmarkStart w:id="10" w:name="heading_10"/>
      <w:r>
        <w:rPr>
          <w:rFonts w:hint="default" w:ascii="Times New Roman" w:hAnsi="Times New Roman" w:eastAsia="黑体" w:cs="Times New Roman"/>
          <w:sz w:val="32"/>
          <w:szCs w:val="32"/>
        </w:rPr>
        <w:t>二、组织指挥体系及职责</w:t>
      </w:r>
      <w:bookmarkEnd w:id="10"/>
    </w:p>
    <w:p w14:paraId="2E307C6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sz w:val="32"/>
          <w:szCs w:val="32"/>
        </w:rPr>
      </w:pPr>
      <w:bookmarkStart w:id="11" w:name="heading_11"/>
      <w:r>
        <w:rPr>
          <w:rFonts w:hint="default" w:ascii="Times New Roman" w:hAnsi="Times New Roman" w:eastAsia="楷体_GB2312" w:cs="Times New Roman"/>
          <w:sz w:val="32"/>
          <w:szCs w:val="32"/>
        </w:rPr>
        <w:t>（一）县级组织指挥机构</w:t>
      </w:r>
      <w:bookmarkEnd w:id="11"/>
    </w:p>
    <w:p w14:paraId="65C85D0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bookmarkStart w:id="12" w:name="heading_12"/>
      <w:r>
        <w:rPr>
          <w:rFonts w:hint="default" w:ascii="Times New Roman" w:hAnsi="Times New Roman" w:eastAsia="仿宋_GB2312" w:cs="Times New Roman"/>
          <w:sz w:val="32"/>
          <w:szCs w:val="32"/>
        </w:rPr>
        <w:t>1.县应急指挥部组成及其职责</w:t>
      </w:r>
      <w:bookmarkEnd w:id="12"/>
    </w:p>
    <w:p w14:paraId="06EA7E7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成立肃南县突发生态环境事件应急指挥部（以下简称“县应急指挥部”），由县政府分管生态环境保护工作的副县长任总指挥，由县政府办公室对应生态环境工作的副主任、县生态环境分局局长任副总指挥，县委宣传部（网信办）、县生态环境分局、县应急局、县发改局、县公安局、县民政局、县财政局、县自然资源局、县住建局、县水务局、县农业农村局、县卫健局、县市场监管局、县</w:t>
      </w:r>
      <w:r>
        <w:rPr>
          <w:rFonts w:hint="eastAsia" w:ascii="Times New Roman" w:hAnsi="Times New Roman" w:eastAsia="仿宋_GB2312" w:cs="Times New Roman"/>
          <w:sz w:val="32"/>
          <w:szCs w:val="32"/>
          <w:lang w:eastAsia="zh-CN"/>
        </w:rPr>
        <w:t>林草局</w:t>
      </w:r>
      <w:r>
        <w:rPr>
          <w:rFonts w:hint="default" w:ascii="Times New Roman" w:hAnsi="Times New Roman" w:eastAsia="仿宋_GB2312" w:cs="Times New Roman"/>
          <w:sz w:val="32"/>
          <w:szCs w:val="32"/>
        </w:rPr>
        <w:t>、县气象局、县地震局、县文旅局、县环境监测站等相关部门和单位负责同志为成员。根据工作需要，成员可增加其他部门和单位负责同志。</w:t>
      </w:r>
    </w:p>
    <w:p w14:paraId="2F93F1F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县应急指挥部主要职责：负责肃南县行政区域内各类突发生态环境事件应急处置工作的指导、决策、协调，以及日常突发生态环境事件应急准备工作的监督和管理；在跨区域突发生态环境事件中，与相关方协调事件处置工作，或按照上级指挥机构的指示组织开展处置工作；及时将突发生态环境事件应急相关情况上报省市人民政府和省市环境应急指挥部。</w:t>
      </w:r>
    </w:p>
    <w:p w14:paraId="7218136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bookmarkStart w:id="13" w:name="heading_13"/>
      <w:r>
        <w:rPr>
          <w:rFonts w:hint="default" w:ascii="Times New Roman" w:hAnsi="Times New Roman" w:eastAsia="仿宋_GB2312" w:cs="Times New Roman"/>
          <w:sz w:val="32"/>
          <w:szCs w:val="32"/>
        </w:rPr>
        <w:t>2.县应急指挥部办公室及职责</w:t>
      </w:r>
      <w:bookmarkEnd w:id="13"/>
    </w:p>
    <w:p w14:paraId="4D72406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县应急指挥部办公室设在县生态环境分局，县生态环境分局局长兼任办公室主任，分管环境应急管理的负责同志任副主任。</w:t>
      </w:r>
    </w:p>
    <w:p w14:paraId="66E2F78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县应急指挥部办公室主要职责</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1）掌握全县突发生态环境事件动态，接收各级各有关部门的预测预警信息，分析突发生态环境事件情况，研判突发生态环境事件发展趋势，核定突发生态环境事件级别，向县突发生态环境事件应急指挥部提出启动应急预案和采取应急措施的建议，执行县突发生态环境事件应急指挥部决定；（2）按照县突发生态环境事件应急指挥部的指示，召集县突发生态环境事件应急指挥部成员单位研究提出处置方案，组织开展应急处置工作；（3）按照有关规定和程序向县委、县人民政府和上级主管部门报告突发生态环境事件相关情况，负责县突发生态环境事件应急预案的编</w:t>
      </w:r>
      <w:r>
        <w:rPr>
          <w:rFonts w:hint="default" w:ascii="Times New Roman" w:hAnsi="Times New Roman" w:eastAsia="仿宋_GB2312" w:cs="Times New Roman"/>
          <w:sz w:val="32"/>
          <w:szCs w:val="32"/>
          <w:lang w:eastAsia="zh-CN"/>
        </w:rPr>
        <w:t>制和</w:t>
      </w:r>
      <w:r>
        <w:rPr>
          <w:rFonts w:hint="default" w:ascii="Times New Roman" w:hAnsi="Times New Roman" w:eastAsia="仿宋_GB2312" w:cs="Times New Roman"/>
          <w:sz w:val="32"/>
          <w:szCs w:val="32"/>
        </w:rPr>
        <w:t>修订工作，负责制定突发生态环境事件应急人员培训和应急演练计划并组织实施，每年至少组织开展1次应急演练；（4）完成县人民政府、县突发生态环境事件应急指挥部交办的其他工作。</w:t>
      </w:r>
    </w:p>
    <w:p w14:paraId="58DE782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bookmarkStart w:id="14" w:name="heading_14"/>
      <w:r>
        <w:rPr>
          <w:rFonts w:hint="default" w:ascii="Times New Roman" w:hAnsi="Times New Roman" w:eastAsia="仿宋_GB2312" w:cs="Times New Roman"/>
          <w:sz w:val="32"/>
          <w:szCs w:val="32"/>
        </w:rPr>
        <w:t>3.县应急指挥部成员单位及职责</w:t>
      </w:r>
      <w:bookmarkEnd w:id="14"/>
    </w:p>
    <w:p w14:paraId="6413220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县应急指挥部成员单位及职责详见附件。</w:t>
      </w:r>
    </w:p>
    <w:p w14:paraId="7BC3049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bookmarkStart w:id="15" w:name="heading_15"/>
      <w:r>
        <w:rPr>
          <w:rFonts w:hint="default" w:ascii="Times New Roman" w:hAnsi="Times New Roman" w:eastAsia="仿宋_GB2312" w:cs="Times New Roman"/>
          <w:sz w:val="32"/>
          <w:szCs w:val="32"/>
        </w:rPr>
        <w:t>4.突发生态环境事件县应急指挥部各工作组职责</w:t>
      </w:r>
      <w:bookmarkEnd w:id="15"/>
    </w:p>
    <w:p w14:paraId="2EA3260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县应急指挥部下设8个工作组，分别为污染处置组、应急监测组、医学救援组、应急保障组、新闻宣传组、社会稳定组、调查评估组、应急专家组。</w:t>
      </w:r>
    </w:p>
    <w:p w14:paraId="235C704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（1）污染处置组</w:t>
      </w:r>
    </w:p>
    <w:p w14:paraId="0FD7C4F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由县应急局、县生态环境分局牵头，县公安局、县水务局、县农业农村局、县自然资源局、县</w:t>
      </w:r>
      <w:r>
        <w:rPr>
          <w:rFonts w:hint="eastAsia" w:ascii="Times New Roman" w:hAnsi="Times New Roman" w:eastAsia="仿宋_GB2312" w:cs="Times New Roman"/>
          <w:sz w:val="32"/>
          <w:szCs w:val="32"/>
          <w:lang w:eastAsia="zh-CN"/>
        </w:rPr>
        <w:t>林草局</w:t>
      </w:r>
      <w:r>
        <w:rPr>
          <w:rFonts w:hint="default" w:ascii="Times New Roman" w:hAnsi="Times New Roman" w:eastAsia="仿宋_GB2312" w:cs="Times New Roman"/>
          <w:sz w:val="32"/>
          <w:szCs w:val="32"/>
        </w:rPr>
        <w:t>、县畜牧兽医服务中心等部门组成。</w:t>
      </w:r>
    </w:p>
    <w:p w14:paraId="7095165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组长：县应急局局长</w:t>
      </w:r>
    </w:p>
    <w:p w14:paraId="67441E7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副组长：县公安局局长、县生态环境分局局长</w:t>
      </w:r>
    </w:p>
    <w:p w14:paraId="40274BB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主要职责：收集汇总相关数据，组织进行技术研判，开展事态分析；迅速组织切断污染源，分析污染途径，明确防止污染物扩散的程序；组织采取有效措施，消除或减轻已经造成的污染；明确不同情况下的现场处置人员须采取的个人防护措施；组织建立现场警戒区和交通管制区域，确定重点防护区域</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确定受威胁人员疏散的方式和途径，疏散转移受威胁人员至安全紧急避险场所。</w:t>
      </w:r>
    </w:p>
    <w:p w14:paraId="625862F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（2）应急监测组</w:t>
      </w:r>
    </w:p>
    <w:p w14:paraId="5043138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由县生态环境分局牵头，县自然资源局、县水务局、县农业农村局、县气象局、县畜牧兽医服务中心、县环境监测站等部门组成。</w:t>
      </w:r>
    </w:p>
    <w:p w14:paraId="4E3DEFA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组长：县</w:t>
      </w:r>
      <w:r>
        <w:rPr>
          <w:rFonts w:hint="default" w:ascii="Times New Roman" w:hAnsi="Times New Roman" w:eastAsia="仿宋_GB2312" w:cs="Times New Roman"/>
          <w:sz w:val="32"/>
          <w:szCs w:val="32"/>
          <w:lang w:eastAsia="zh-CN"/>
        </w:rPr>
        <w:t>生态环境</w:t>
      </w:r>
      <w:r>
        <w:rPr>
          <w:rFonts w:hint="default" w:ascii="Times New Roman" w:hAnsi="Times New Roman" w:eastAsia="仿宋_GB2312" w:cs="Times New Roman"/>
          <w:sz w:val="32"/>
          <w:szCs w:val="32"/>
        </w:rPr>
        <w:t>分局局长</w:t>
      </w:r>
    </w:p>
    <w:p w14:paraId="76B7523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副组长：县气象局局长、县生态环境分局副局长</w:t>
      </w:r>
    </w:p>
    <w:p w14:paraId="012552D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主要职责：根据突发生态环境事件的污染物种类、性质以及事发地气象、自然、社会环境状况等，明确相应的应急监测方案及监测方法；确定污染物扩散范围，明确监测的布点和频次，做好大气、水体、土壤等应急监测，为突发生态环境事件应急决策提供依据。</w:t>
      </w:r>
    </w:p>
    <w:p w14:paraId="5BB8878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（3）医学救援组</w:t>
      </w:r>
    </w:p>
    <w:p w14:paraId="108613C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由县卫健局牵头，县医保局、县生态环境分局、县市场监管局、县人民医院等部门组成。</w:t>
      </w:r>
    </w:p>
    <w:p w14:paraId="68B39D5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组长：县卫健局局长</w:t>
      </w:r>
    </w:p>
    <w:p w14:paraId="308FFAE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副组长：县医保局局长、县人民医院院长</w:t>
      </w:r>
    </w:p>
    <w:p w14:paraId="01FC376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主要职责：组织开展伤病员医疗救治、应急心理援助和心理危机干预；指导和协助开展受污染人员的去污洗消工作；提出保护公众健康的措施建议；禁止或限制受污染食品和饮用水的生产、加工、流通和食用，防范因突发生态环境事件造成集体中毒等。</w:t>
      </w:r>
    </w:p>
    <w:p w14:paraId="02A31B2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（4）应急保障组</w:t>
      </w:r>
    </w:p>
    <w:p w14:paraId="3B3EE97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由县应急局牵头，县发改局、县公安局、县民政局、县财政局、县生态环境分局、县自然资源局、县住建局、县水务局等部门在县应急指挥部的统一领导下，按照各自工作职责分工负责。</w:t>
      </w:r>
    </w:p>
    <w:p w14:paraId="7CEE8EA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组长：县应急局局长</w:t>
      </w:r>
    </w:p>
    <w:p w14:paraId="0D9DA92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副组长：县财政局局长、县</w:t>
      </w:r>
      <w:r>
        <w:rPr>
          <w:rFonts w:hint="eastAsia" w:ascii="Times New Roman" w:hAnsi="Times New Roman" w:eastAsia="仿宋_GB2312" w:cs="Times New Roman"/>
          <w:sz w:val="32"/>
          <w:szCs w:val="32"/>
          <w:lang w:eastAsia="zh-CN"/>
        </w:rPr>
        <w:t>发改</w:t>
      </w:r>
      <w:r>
        <w:rPr>
          <w:rFonts w:hint="default" w:ascii="Times New Roman" w:hAnsi="Times New Roman" w:eastAsia="仿宋_GB2312" w:cs="Times New Roman"/>
          <w:sz w:val="32"/>
          <w:szCs w:val="32"/>
        </w:rPr>
        <w:t>局局长</w:t>
      </w:r>
    </w:p>
    <w:p w14:paraId="6C5BB47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主要职责：指导做好事件影响区域有关人员的紧急转移和临时安置工作；组织做好环境应急救援物资及临时安置重要物资的紧急生产、储备调拨和紧急配送工作；及时组织调运重要生活类救灾物资，保障群众基本生活和市场供应；开展应急测绘工作。</w:t>
      </w:r>
    </w:p>
    <w:p w14:paraId="1DF5876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（5）新闻宣传组</w:t>
      </w:r>
    </w:p>
    <w:p w14:paraId="18DC46D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由县委宣传部牵头，县委网信办、县文旅局、县</w:t>
      </w:r>
      <w:r>
        <w:rPr>
          <w:rFonts w:hint="eastAsia" w:ascii="Times New Roman" w:hAnsi="Times New Roman" w:eastAsia="仿宋_GB2312" w:cs="Times New Roman"/>
          <w:sz w:val="32"/>
          <w:szCs w:val="32"/>
          <w:lang w:eastAsia="zh-CN"/>
        </w:rPr>
        <w:t>发改</w:t>
      </w:r>
      <w:r>
        <w:rPr>
          <w:rFonts w:hint="default" w:ascii="Times New Roman" w:hAnsi="Times New Roman" w:eastAsia="仿宋_GB2312" w:cs="Times New Roman"/>
          <w:sz w:val="32"/>
          <w:szCs w:val="32"/>
        </w:rPr>
        <w:t>局、县生态环境分局、县市场监管局、县融媒体中心等部门组成。</w:t>
      </w:r>
    </w:p>
    <w:p w14:paraId="0106BFF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组长：县委宣传部副部长</w:t>
      </w:r>
    </w:p>
    <w:p w14:paraId="724DF02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副组长：县文旅局局长、县融媒体中心主任</w:t>
      </w:r>
    </w:p>
    <w:p w14:paraId="6B73EBB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主要职责：组织开展事件进展、应急工作情况等权威信息发布，加强新闻宣传报道；收集分析市内外舆情和社会公众动态，加强媒体、通信和互联网管理，正确引导舆论；通过多种方式，通俗、权威、全面、前瞻地做好相关知识普及；及时澄清不实信息，回应社会关切。</w:t>
      </w:r>
    </w:p>
    <w:p w14:paraId="159CBBB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（6）社会稳定组</w:t>
      </w:r>
    </w:p>
    <w:p w14:paraId="60665C13">
      <w:pPr>
        <w:keepNext w:val="0"/>
        <w:keepLines w:val="0"/>
        <w:pageBreakBefore w:val="0"/>
        <w:widowControl w:val="0"/>
        <w:kinsoku/>
        <w:wordWrap/>
        <w:overflowPunct/>
        <w:topLinePunct w:val="0"/>
        <w:autoSpaceDE/>
        <w:autoSpaceDN/>
        <w:bidi w:val="0"/>
        <w:adjustRightInd/>
        <w:snapToGrid/>
        <w:spacing w:line="560" w:lineRule="exact"/>
        <w:ind w:firstLine="960" w:firstLineChars="3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由县公安局牵头，县信访局、县司法局、县</w:t>
      </w:r>
      <w:r>
        <w:rPr>
          <w:rFonts w:hint="eastAsia" w:ascii="Times New Roman" w:hAnsi="Times New Roman" w:eastAsia="仿宋_GB2312" w:cs="Times New Roman"/>
          <w:sz w:val="32"/>
          <w:szCs w:val="32"/>
          <w:lang w:eastAsia="zh-CN"/>
        </w:rPr>
        <w:t>发改</w:t>
      </w:r>
      <w:r>
        <w:rPr>
          <w:rFonts w:hint="default" w:ascii="Times New Roman" w:hAnsi="Times New Roman" w:eastAsia="仿宋_GB2312" w:cs="Times New Roman"/>
          <w:sz w:val="32"/>
          <w:szCs w:val="32"/>
        </w:rPr>
        <w:t>局、县民政局、县市场监管局、县生态环境分局、县应急局等部门组成。</w:t>
      </w:r>
    </w:p>
    <w:p w14:paraId="4370793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组长：县公安局局长</w:t>
      </w:r>
    </w:p>
    <w:p w14:paraId="6453722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副组长：县应急局局长、县民政局局长、县信访局局长</w:t>
      </w:r>
    </w:p>
    <w:p w14:paraId="1A3B75F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主要职责：加强事故现场安全警戒，建立现场警戒区、交通管制区域和重点防护区域；加强受影响地区社会治安管理，严厉打击借机传播谣言、制造社会恐慌、哄抢物资等违法犯罪行为；加强转移人员安置点、救灾物资存放点等重点地区治安管控；做好受影响人员与涉事单位、地方人民政府及有关部门矛盾纠纷化解和法律服务工作，防止出现群体性事件，维护社会稳定；加强对重要生活必需品等商品的市场监管和调控，打击囤积居奇行为。</w:t>
      </w:r>
    </w:p>
    <w:p w14:paraId="4E8B327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（7）调查评估组</w:t>
      </w:r>
    </w:p>
    <w:p w14:paraId="2F55D2E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由县生态环境分局牵头，县公安局、县应急局、县民政局、县住建局、县水务局、县农业农村局、县</w:t>
      </w:r>
      <w:r>
        <w:rPr>
          <w:rFonts w:hint="eastAsia" w:ascii="Times New Roman" w:hAnsi="Times New Roman" w:eastAsia="仿宋_GB2312" w:cs="Times New Roman"/>
          <w:sz w:val="32"/>
          <w:szCs w:val="32"/>
          <w:lang w:eastAsia="zh-CN"/>
        </w:rPr>
        <w:t>林草局</w:t>
      </w:r>
      <w:r>
        <w:rPr>
          <w:rFonts w:hint="default" w:ascii="Times New Roman" w:hAnsi="Times New Roman" w:eastAsia="仿宋_GB2312" w:cs="Times New Roman"/>
          <w:sz w:val="32"/>
          <w:szCs w:val="32"/>
        </w:rPr>
        <w:t>、县地震局、县气象局、事发地和受影响地乡（镇）政府等单位组成。</w:t>
      </w:r>
    </w:p>
    <w:p w14:paraId="217920E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组长：县生态环境分局局长</w:t>
      </w:r>
    </w:p>
    <w:p w14:paraId="2E42EEC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副组长：应急局局长、交通局局长、住建局局长</w:t>
      </w:r>
    </w:p>
    <w:p w14:paraId="7560310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主要职责：开展突发生态环境事件环境污染损害调查，委托第三方专业咨询机构或提请省生态环境厅开展评估、核实事件造成的损失情况；对较大以下突发生态环境事件的起因、性质、影响、责任、经验教训和恢复重建等问题进行调查评估；对应急处置过程、有关人员责任、应急处置工作经验、存在的问题等情况进行分析。</w:t>
      </w:r>
    </w:p>
    <w:p w14:paraId="0072EDD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（8）应急专家组</w:t>
      </w:r>
    </w:p>
    <w:p w14:paraId="0EA5A1D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由县生态环境分局、县公安局、县应急局、县民政局、县住建局、县水务局、县农业农村局、县</w:t>
      </w:r>
      <w:r>
        <w:rPr>
          <w:rFonts w:hint="eastAsia" w:ascii="Times New Roman" w:hAnsi="Times New Roman" w:eastAsia="仿宋_GB2312" w:cs="Times New Roman"/>
          <w:sz w:val="32"/>
          <w:szCs w:val="32"/>
          <w:lang w:eastAsia="zh-CN"/>
        </w:rPr>
        <w:t>林草局</w:t>
      </w:r>
      <w:r>
        <w:rPr>
          <w:rFonts w:hint="default" w:ascii="Times New Roman" w:hAnsi="Times New Roman" w:eastAsia="仿宋_GB2312" w:cs="Times New Roman"/>
          <w:sz w:val="32"/>
          <w:szCs w:val="32"/>
        </w:rPr>
        <w:t>、县地震局、县气象局等有关单位的专家组成专家组。</w:t>
      </w:r>
    </w:p>
    <w:p w14:paraId="0B10C55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主要职责：参与指导突发生态环境事件的应急处置工作，为县应急指挥部决策提供技术支持。</w:t>
      </w:r>
    </w:p>
    <w:p w14:paraId="7540C1F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sz w:val="32"/>
          <w:szCs w:val="32"/>
        </w:rPr>
      </w:pPr>
      <w:bookmarkStart w:id="16" w:name="heading_16"/>
      <w:r>
        <w:rPr>
          <w:rFonts w:hint="default" w:ascii="Times New Roman" w:hAnsi="Times New Roman" w:eastAsia="楷体_GB2312" w:cs="Times New Roman"/>
          <w:sz w:val="32"/>
          <w:szCs w:val="32"/>
        </w:rPr>
        <w:t>（二）乡（镇）机构</w:t>
      </w:r>
      <w:bookmarkEnd w:id="16"/>
    </w:p>
    <w:p w14:paraId="1E0ABBA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乡（镇）人民政府应成立突发生态环境事件应急指挥部，负责本行政区域突发生态环境事件的应对工作。突发生态环境事件发生后，事发地政府立即启动地方突发生态环境事件应急预案，第一时间采取应急处置措施，开展应急处置；及时向县委、县政府和县应急指挥部报告事件情况；由县级指挥部协调处置的突发生态环境事件，乡（镇）应急指挥部要按照职责分工，密切配合，共同做好突发生态环境事件应对工作。</w:t>
      </w:r>
    </w:p>
    <w:p w14:paraId="7E469C7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sz w:val="32"/>
          <w:szCs w:val="32"/>
        </w:rPr>
      </w:pPr>
      <w:bookmarkStart w:id="17" w:name="heading_17"/>
      <w:r>
        <w:rPr>
          <w:rFonts w:hint="default" w:ascii="Times New Roman" w:hAnsi="Times New Roman" w:eastAsia="楷体_GB2312" w:cs="Times New Roman"/>
          <w:sz w:val="32"/>
          <w:szCs w:val="32"/>
        </w:rPr>
        <w:t>（三）现场指挥机构及职责</w:t>
      </w:r>
      <w:bookmarkEnd w:id="17"/>
    </w:p>
    <w:p w14:paraId="36C4D69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突发生态环境事件发生后，县政府视情设立突发生态环境事件应急现场指挥部（简称“现场指挥部”），肃南县突发生态环境事件应急指挥部可以根据突发生态环境事件应急处置工作需要，在事发地成立由县政府、县生态环境分局及相关部门、事发单位负责人等组成的现场指挥部，负责现场组织指挥工作，现场指挥部负责人由县应急指挥部根据事件特点临时指定，参与现场处置的有关单位和人员要服从现场指挥部的统一指挥。</w:t>
      </w:r>
    </w:p>
    <w:p w14:paraId="0C535B6D">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切实加强党对应急指挥工作的领导，现场指挥部按照《中国共产党支部工作条例（试行）》有关要求，成立临时党组织，开展思想政治工作，发挥战斗堡垒作用。</w:t>
      </w:r>
    </w:p>
    <w:p w14:paraId="1CE436E1">
      <w:pPr>
        <w:keepNext w:val="0"/>
        <w:keepLines w:val="0"/>
        <w:pageBreakBefore w:val="0"/>
        <w:widowControl w:val="0"/>
        <w:kinsoku/>
        <w:wordWrap/>
        <w:overflowPunct/>
        <w:topLinePunct w:val="0"/>
        <w:autoSpaceDE/>
        <w:autoSpaceDN/>
        <w:bidi w:val="0"/>
        <w:adjustRightInd/>
        <w:snapToGrid/>
        <w:spacing w:line="560" w:lineRule="exact"/>
        <w:ind w:firstLine="320" w:firstLineChars="100"/>
        <w:textAlignment w:val="auto"/>
        <w:rPr>
          <w:rFonts w:hint="default" w:ascii="Times New Roman" w:hAnsi="Times New Roman" w:eastAsia="黑体" w:cs="Times New Roman"/>
          <w:sz w:val="32"/>
          <w:szCs w:val="32"/>
        </w:rPr>
      </w:pPr>
      <w:bookmarkStart w:id="18" w:name="heading_18"/>
      <w:r>
        <w:rPr>
          <w:rFonts w:hint="default" w:ascii="Times New Roman" w:hAnsi="Times New Roman" w:eastAsia="黑体" w:cs="Times New Roman"/>
          <w:sz w:val="32"/>
          <w:szCs w:val="32"/>
        </w:rPr>
        <w:t>三、监测预警和信息报告</w:t>
      </w:r>
      <w:bookmarkEnd w:id="18"/>
    </w:p>
    <w:p w14:paraId="56751E3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sz w:val="32"/>
          <w:szCs w:val="32"/>
        </w:rPr>
      </w:pPr>
      <w:bookmarkStart w:id="19" w:name="heading_19"/>
      <w:r>
        <w:rPr>
          <w:rFonts w:hint="default" w:ascii="Times New Roman" w:hAnsi="Times New Roman" w:eastAsia="楷体_GB2312" w:cs="Times New Roman"/>
          <w:sz w:val="32"/>
          <w:szCs w:val="32"/>
        </w:rPr>
        <w:t>（一）监测和风险分析</w:t>
      </w:r>
      <w:bookmarkEnd w:id="19"/>
    </w:p>
    <w:p w14:paraId="7902FD2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县生态环境分局及其他有关部门要按照“早发现、早报告、早处置”的原则，加强日常环境监测、监督和管理，并对可能导致突发生态环境事件的风险信息加强收集、分析和研判。县应急局、县公安局、县住建局、县水务局、县农业农村局、县卫健局、县气象局、县地震局和各乡（镇）等有关部门按照职责分工，应当及时将可能导致突发生态环境事件的信息通报县生态环境分局。坚持预防为主，加强环境风险常态化管理，组织重点领域突发生态环境事件风险隐患的调查、识别、评估和治理，强化集中式饮用水水源地、自然保护地、生态保护红线等重要生态环境敏感目标环境风险评估。</w:t>
      </w:r>
    </w:p>
    <w:p w14:paraId="70A8BA4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企业事业单位和其他生产经营者应当落实环境安全主体责任，定期排查环境安全隐患，开展环境风险评估，健全环境风险防控措施，编制和修订环境应急预案，储备环境应急物资，加强环境应急队伍建设，做好环境信息公开，定期组织开展环境应急培训和演练。当出现可能导致发生突发生态环境事件的情况时，按照“分级负责、属地为主”原则，要立即报告县生态环境分局。</w:t>
      </w:r>
    </w:p>
    <w:p w14:paraId="2596BF1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sz w:val="32"/>
          <w:szCs w:val="32"/>
        </w:rPr>
      </w:pPr>
      <w:bookmarkStart w:id="20" w:name="heading_20"/>
      <w:r>
        <w:rPr>
          <w:rFonts w:hint="default" w:ascii="Times New Roman" w:hAnsi="Times New Roman" w:eastAsia="楷体_GB2312" w:cs="Times New Roman"/>
          <w:sz w:val="32"/>
          <w:szCs w:val="32"/>
        </w:rPr>
        <w:t>（二）预警</w:t>
      </w:r>
      <w:bookmarkEnd w:id="20"/>
    </w:p>
    <w:p w14:paraId="68E7DDA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bookmarkStart w:id="21" w:name="heading_21"/>
      <w:r>
        <w:rPr>
          <w:rFonts w:hint="default" w:ascii="Times New Roman" w:hAnsi="Times New Roman" w:eastAsia="仿宋_GB2312" w:cs="Times New Roman"/>
          <w:sz w:val="32"/>
          <w:szCs w:val="32"/>
        </w:rPr>
        <w:t>1.预警分级</w:t>
      </w:r>
      <w:bookmarkEnd w:id="21"/>
    </w:p>
    <w:p w14:paraId="7158880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对可以预警的突发生态环境事件，按照事件发生的可能性大小、紧急程度和可能造成的危害程度，其预警由高到低分为Ⅰ级、Ⅱ级、Ⅲ级和Ⅳ级4个等级，依次用红色、橙色、黄色和蓝色表示。预警级别的具体划分标准，按照生态环境部规定执行。</w:t>
      </w:r>
    </w:p>
    <w:p w14:paraId="2F1665E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bookmarkStart w:id="22" w:name="heading_22"/>
      <w:r>
        <w:rPr>
          <w:rFonts w:hint="default" w:ascii="Times New Roman" w:hAnsi="Times New Roman" w:eastAsia="仿宋_GB2312" w:cs="Times New Roman"/>
          <w:sz w:val="32"/>
          <w:szCs w:val="32"/>
        </w:rPr>
        <w:t>2.预警信息发布</w:t>
      </w:r>
      <w:bookmarkEnd w:id="22"/>
    </w:p>
    <w:p w14:paraId="3AEF274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预警发布层级。红色和橙色预警由省人民政府发布，黄色预警由市人民政府发布，蓝色预警由事发地县区人民政府发布。县生态环境主管部门研判可能发生特别重大、重大、较大突发生态环境事件时，应当及时向县政府提出预警信息发布建议，同时通报同级相关部门和单位。</w:t>
      </w:r>
    </w:p>
    <w:p w14:paraId="04DC4D7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（2）预警发布内容。突发生态环境事件预警信息，应包括突发生态环境事件类别、预警级别、起始时间、可能影响范围、警示事项、应采取的措施和发布机关等内容。</w:t>
      </w:r>
    </w:p>
    <w:p w14:paraId="4F10E04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预警发布方式。县人民政府或其授权的相关部门充分发挥突发事件预警信息发布系统作用，协调指导网信、广电、新闻、通信等主管部门，通过电视、广播、报纸、互联网等媒体和通信运营企业，及时准确播放或刊载预警信息。对老、幼、病、残、孕等特殊人群以及学校、医院、养老院等特殊场所和预警盲区，基层组织应采取警报器、宣传车、大喇叭等多种方式逐户传递预警信息，确保不漏一户、不漏一人。</w:t>
      </w:r>
    </w:p>
    <w:p w14:paraId="0AD2001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县生态环境主管部门要将监测到的可能导致突发生态环境事件的有关信息，及时通报可能受影响的周边县区生态环境主管部门。</w:t>
      </w:r>
    </w:p>
    <w:p w14:paraId="081B236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bookmarkStart w:id="23" w:name="heading_23"/>
      <w:r>
        <w:rPr>
          <w:rFonts w:hint="default" w:ascii="Times New Roman" w:hAnsi="Times New Roman" w:eastAsia="仿宋_GB2312" w:cs="Times New Roman"/>
          <w:sz w:val="32"/>
          <w:szCs w:val="32"/>
        </w:rPr>
        <w:t>3.预警行动</w:t>
      </w:r>
      <w:bookmarkEnd w:id="23"/>
    </w:p>
    <w:p w14:paraId="43A9DC9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预警信息发布后，县突发生态环境事件应急指挥部下属各工作组根据事件具体情况和可能造成的影响及后果，视情采取以下措施：</w:t>
      </w:r>
    </w:p>
    <w:p w14:paraId="55F0DAB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（1）分析研判。县人民政府组织有关部门、机构、专业技术人员及专家，及时对预警信息进行分析研判，预估发生突发生态环境事件的可能性大小、影响范围、危害程度和事件级别。</w:t>
      </w:r>
    </w:p>
    <w:p w14:paraId="72FCD1A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防范处置。迅速采取有效处置措施，控制事件苗头。在涉险区域设置注意事项提示或事件危害警告标志，利用各种渠道增加宣传频次，告知公众避险和减轻危害的常识、需采取必要的健康防护措施，转移、撤离或者疏散可能受到危害影响的人员，并进行妥善安置。针对突发生态环境事件可能造成的危害，应及时封闭、隔离或者限制使用有关场所，中止可能导致危害扩大的行为和活动。</w:t>
      </w:r>
    </w:p>
    <w:p w14:paraId="5B5E7D3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应急准备。责令应急救援队伍、负有特定职责的人员进入待命状态，动员后备人员做好参加应急救援和处置工作的准备，调集应急所需物资和设备，做好应急保障工作。环境监测人员立即开展应急监测，随时掌握并报告事态进展情况。对可能导致突发生态环境事件发生的相关企业事业单位和其他生产经营者加强环境监管。依法采取预警措施所涉及的企业事业单位和个人，应当按照有关法律法规承担相应的突发生态环境事件应急义务。</w:t>
      </w:r>
    </w:p>
    <w:p w14:paraId="4667427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（4）舆论引导。及时准确发布事态最新情况，公布咨询电话，组织专家解读。加强相关舆情监测，做好舆论引导工作。</w:t>
      </w:r>
    </w:p>
    <w:p w14:paraId="666CE4A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bookmarkStart w:id="24" w:name="heading_24"/>
      <w:r>
        <w:rPr>
          <w:rFonts w:hint="default" w:ascii="Times New Roman" w:hAnsi="Times New Roman" w:eastAsia="仿宋_GB2312" w:cs="Times New Roman"/>
          <w:sz w:val="32"/>
          <w:szCs w:val="32"/>
        </w:rPr>
        <w:t>4.预警级别调整及解除</w:t>
      </w:r>
      <w:bookmarkEnd w:id="24"/>
    </w:p>
    <w:p w14:paraId="5397032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发布突发生态环境事件预警信息的县人民政府或其授权的相关部门，应组织有关部门、机构、专业技术人员和专家加强跟踪分析</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根据事态发展情况和采取措施的效果适时调整预警级别；当判断不可能发生突发生态环境事件或者危险已经消除时，宣布解除预警，适时终止相关措施。</w:t>
      </w:r>
    </w:p>
    <w:p w14:paraId="423E855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sz w:val="32"/>
          <w:szCs w:val="32"/>
        </w:rPr>
      </w:pPr>
      <w:bookmarkStart w:id="25" w:name="heading_25"/>
      <w:r>
        <w:rPr>
          <w:rFonts w:hint="default" w:ascii="Times New Roman" w:hAnsi="Times New Roman" w:eastAsia="楷体_GB2312" w:cs="Times New Roman"/>
          <w:sz w:val="32"/>
          <w:szCs w:val="32"/>
        </w:rPr>
        <w:t>（三）信息报告与通报</w:t>
      </w:r>
      <w:bookmarkEnd w:id="25"/>
    </w:p>
    <w:p w14:paraId="29E66E2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突发生态环境事件发生后，涉事企业事业单位或其他生产经营者必须采取应对措施，并立即向相关部门报告，同时通报可能受到污染危害的单位和居民。因生产安全事故、交通运输事故等导致突发生态环境事件的，应急、交通、公安等有关部门要及时通报县生态环境分局。县生态环境分局通过互联网信息监测、环境污染举报热线等多种渠道，加强对突发生态环境事件的信息收集，及时掌握突发生态环境事件发生情况。</w:t>
      </w:r>
    </w:p>
    <w:p w14:paraId="6BF856F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县生态环境分局接到突发生态环境事件信息报告或监测到相关信息后，应当立即进行核实，对突发生态环境事件的性质和类别作出初步认定，按照《突发生态环境事件信息报送办法》规定的时限、程序和要求，向市生态环境局和县人民政府报告，并通报同级其他相关部门。突发生态环境事件已经或者可能涉及相邻行政区域的，县人民政府或县生态环境分局应当及时通报相邻区域人民政府或生态环境主管部门。接到通报的生态环境主管部门应当及时调查了解情况，并按照相关规定报告突发生态环境事件信息。县生态环境分局及各乡（镇）人民政府应当按照有关规定逐级上报。相邻地区应当建立健全突发生态环境事件联防联控机制，共同做好区域性、流域性突发生态环境事件防范应对工作。</w:t>
      </w:r>
    </w:p>
    <w:p w14:paraId="7B0B5F5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对以下突发生态环境事件信息，县人民政府和县生态环境分局应当立即向市政府和市生态环境局报告：初判为特别重大或重大突发生态环境事件；可能或已引发大规模群体性事件的突发生态环境事件；可能造成国际影响的境内突发生态环境事件；境外因素导致或可能导致我县境内发生突发生态环境事件；县政府和市生态环境局认为有必要报告的其他突发生态环境事件。</w:t>
      </w:r>
    </w:p>
    <w:p w14:paraId="77C53BB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bookmarkStart w:id="26" w:name="heading_26"/>
      <w:r>
        <w:rPr>
          <w:rFonts w:hint="default" w:ascii="Times New Roman" w:hAnsi="Times New Roman" w:eastAsia="仿宋_GB2312" w:cs="Times New Roman"/>
          <w:sz w:val="32"/>
          <w:szCs w:val="32"/>
        </w:rPr>
        <w:t>1.信息报告时限和程序</w:t>
      </w:r>
      <w:bookmarkEnd w:id="26"/>
    </w:p>
    <w:p w14:paraId="59DC060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突发生态环境事件发生地县生态环境分局在发现或得知突发生态环境事件信息后，应当立即进行核实，对突发生态环境事件的性质和类别作出初步认定，按照《突发生态环境事件信息报告办法》（部令第17号）以及县政府规定时限、程序和要求向上级生态环境主管部门和县政府报告，并通报有关部门。</w:t>
      </w:r>
    </w:p>
    <w:p w14:paraId="7E8D836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对初步认定为一般或者较大突发生态环境事件的，事件发生地县生态环境分局应当在30分钟内向县人民政府和市生态环境主管部门报告，不得迟报、谎报、瞒报和漏报。</w:t>
      </w:r>
    </w:p>
    <w:p w14:paraId="6C44F7B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对初步认定为重大或者特别重大突发生态环境事件的，事件发生地县生态环境分局应当在30分钟内向县人民政府、市生态环境主管部门报告，情况紧急时可越级上报。</w:t>
      </w:r>
    </w:p>
    <w:p w14:paraId="13564CA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突发生态环境事件处置过程中事件级别发生变化的，应当按照变化后的级别报告信息。</w:t>
      </w:r>
    </w:p>
    <w:p w14:paraId="35A2543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发生下列一时无法判明等级的突发生态环境事件，县人民政府和县生态环境分局应当按照重大或者特别重大突发生态环境事件的报告程序上报：（1）对饮用水水源保护区造成或者可能造成影响的；（2）涉及居民聚居区、学校、医院等敏感区域和敏感人群的；（3）涉及重金属或者类金属污染的；（4）有可能产生跨省或者跨国影响的；（5）因环境污染引发群体性事件，或者社会影响较大的；</w:t>
      </w:r>
    </w:p>
    <w:p w14:paraId="22B86925">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6）地方人民政府环境保护主管部门认为有必要报告的其他突发生态环境事件。</w:t>
      </w:r>
    </w:p>
    <w:p w14:paraId="3855E75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bookmarkStart w:id="27" w:name="heading_27"/>
      <w:r>
        <w:rPr>
          <w:rFonts w:hint="default" w:ascii="Times New Roman" w:hAnsi="Times New Roman" w:eastAsia="仿宋_GB2312" w:cs="Times New Roman"/>
          <w:sz w:val="32"/>
          <w:szCs w:val="32"/>
        </w:rPr>
        <w:t>2.信息报告方式和内容</w:t>
      </w:r>
      <w:bookmarkEnd w:id="27"/>
    </w:p>
    <w:p w14:paraId="52F7E7E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突发生态环境事件的报告分为初报、续报和处理结果报告。</w:t>
      </w:r>
    </w:p>
    <w:p w14:paraId="1A264C9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初报在发现或者得知突发生态环境事件后首次上报；续报在查清有关基本情况、事件发展情况后随时上报；处理结果报告在突发生态环境事件处理完毕后上报。</w:t>
      </w:r>
    </w:p>
    <w:p w14:paraId="566A1CF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初报。应当报告突发生态环境事件的发生时间、地点、信息来源、事件起因和性质、基本过程、主要污染物和数量、监测数据、人员受害情况、饮用水水源地等环境敏感点受影响情况、事件发展趋势、处置情况、拟采取的措施以及下一步工作建议等初步情况，并提供可能受到突发生态环境事件影响的环境敏感点的分布示意图。</w:t>
      </w:r>
    </w:p>
    <w:p w14:paraId="4866400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续报。应当在初报的基础上，报告有关处置进展情况。续报由县生态环境分局根据要求向本级人民政府和上级生态环境部门报告，续报可通过网络或书面报告，在初报的基础上报告有关确切数据，事件发生的原因、过程、进展情况、趋势分析、危害程度及采取的应急措施、效果等基本情况，并附应急监测快报、监测点位分布图、污染分布及变化趋势图等资料。</w:t>
      </w:r>
    </w:p>
    <w:p w14:paraId="247C4C3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处理结果报告。事件处理完毕后由县生态环境分局根据要求向同级人民政府和上级生态环境主管部门进行处理结果报告。处理结果报告采用书面报告，在初报和续报的基础上，报告处理事件的措施、过程和结果，事件潜在或间接的危害、损失、社会影响、处理后的遗留问题、责任追究，参加处理工作的有关部门和工作内容，出具有关危害与损失的证明文件等详细情况。</w:t>
      </w:r>
    </w:p>
    <w:p w14:paraId="0F94F09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跨区域信息通报。突发生态环境事件已经或可能涉及相邻行政区域的，县生态环境分局应当及时通报相关行政区域的生态环境部门。相邻地区应当建立健全突发生态环境事件联防联控机制，共同做好区域性、流域性突发生态环境事件防范应对工作。</w:t>
      </w:r>
    </w:p>
    <w:p w14:paraId="75DA051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bookmarkStart w:id="28" w:name="heading_28"/>
      <w:r>
        <w:rPr>
          <w:rFonts w:hint="default" w:ascii="Times New Roman" w:hAnsi="Times New Roman" w:eastAsia="仿宋_GB2312" w:cs="Times New Roman"/>
          <w:sz w:val="32"/>
          <w:szCs w:val="32"/>
        </w:rPr>
        <w:t>3.信息报告要求</w:t>
      </w:r>
      <w:bookmarkEnd w:id="28"/>
    </w:p>
    <w:p w14:paraId="1BC7C08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突发生态环境事件信息应当采用传真、网络、邮寄和面呈等方式书面报告；情况紧急时，初报可通过电话报告，但应当在1小时内补充书面报告。</w:t>
      </w:r>
    </w:p>
    <w:p w14:paraId="6EE2BFF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书面报告中应当载明突发生态环境事件报告单位、报告签发人、联系人及联系方式等内容，并尽可能提供地图、图片以及相关的多媒体资料。</w:t>
      </w:r>
    </w:p>
    <w:p w14:paraId="61919371">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具体报告时限、程序和要求根据《突发生态环境事件信息报告办法》要求执行。</w:t>
      </w:r>
    </w:p>
    <w:p w14:paraId="248BAD34">
      <w:pPr>
        <w:keepNext w:val="0"/>
        <w:keepLines w:val="0"/>
        <w:pageBreakBefore w:val="0"/>
        <w:widowControl w:val="0"/>
        <w:kinsoku/>
        <w:wordWrap/>
        <w:overflowPunct/>
        <w:topLinePunct w:val="0"/>
        <w:autoSpaceDE/>
        <w:autoSpaceDN/>
        <w:bidi w:val="0"/>
        <w:adjustRightInd/>
        <w:snapToGrid/>
        <w:spacing w:line="560" w:lineRule="exact"/>
        <w:ind w:firstLine="320" w:firstLineChars="100"/>
        <w:textAlignment w:val="auto"/>
        <w:rPr>
          <w:rFonts w:hint="default" w:ascii="Times New Roman" w:hAnsi="Times New Roman" w:eastAsia="黑体" w:cs="Times New Roman"/>
          <w:sz w:val="32"/>
          <w:szCs w:val="32"/>
        </w:rPr>
      </w:pPr>
      <w:bookmarkStart w:id="29" w:name="heading_29"/>
      <w:r>
        <w:rPr>
          <w:rFonts w:hint="default" w:ascii="Times New Roman" w:hAnsi="Times New Roman" w:eastAsia="黑体" w:cs="Times New Roman"/>
          <w:sz w:val="32"/>
          <w:szCs w:val="32"/>
        </w:rPr>
        <w:t>四、应急响应</w:t>
      </w:r>
      <w:bookmarkEnd w:id="29"/>
    </w:p>
    <w:p w14:paraId="2DFE693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sz w:val="32"/>
          <w:szCs w:val="32"/>
        </w:rPr>
      </w:pPr>
      <w:bookmarkStart w:id="30" w:name="heading_30"/>
      <w:r>
        <w:rPr>
          <w:rFonts w:hint="default" w:ascii="Times New Roman" w:hAnsi="Times New Roman" w:eastAsia="楷体_GB2312" w:cs="Times New Roman"/>
          <w:sz w:val="32"/>
          <w:szCs w:val="32"/>
        </w:rPr>
        <w:t>（一）分级响应机制</w:t>
      </w:r>
      <w:bookmarkEnd w:id="30"/>
    </w:p>
    <w:p w14:paraId="0ED716B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突发生态环境事件应急响应坚持属地为主的原则，事发乡（镇）</w:t>
      </w:r>
      <w:r>
        <w:rPr>
          <w:rFonts w:hint="default" w:ascii="Times New Roman" w:hAnsi="Times New Roman" w:eastAsia="仿宋_GB2312" w:cs="Times New Roman"/>
          <w:sz w:val="32"/>
          <w:szCs w:val="32"/>
          <w:lang w:eastAsia="zh-CN"/>
        </w:rPr>
        <w:t>或</w:t>
      </w:r>
      <w:r>
        <w:rPr>
          <w:rFonts w:hint="default" w:ascii="Times New Roman" w:hAnsi="Times New Roman" w:eastAsia="仿宋_GB2312" w:cs="Times New Roman"/>
          <w:sz w:val="32"/>
          <w:szCs w:val="32"/>
        </w:rPr>
        <w:t>工业园区管委会按照有关规定全面负责本行政区域内的突发生态环境事件应急处置工作，县生态环境分局及县政府相关部门根据情况给予协调支援。建立</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四快三准两稳一必须</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应急响应机制：快速响应、快速研判、快速处置、快速报告；研判精准、监测精准、处置精准；舆论引导稳、社会面稳；必须确保人民群众生命安全和生态环境安全。</w:t>
      </w:r>
    </w:p>
    <w:p w14:paraId="16B1CCC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进入应急状态时，县应急指挥部各成员单位要严格实行24小时值班制度，指定联络员、值班电话，确保政令信息畅通。</w:t>
      </w:r>
    </w:p>
    <w:p w14:paraId="74F6207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sz w:val="32"/>
          <w:szCs w:val="32"/>
        </w:rPr>
      </w:pPr>
      <w:bookmarkStart w:id="31" w:name="heading_31"/>
      <w:r>
        <w:rPr>
          <w:rFonts w:hint="default" w:ascii="Times New Roman" w:hAnsi="Times New Roman" w:eastAsia="楷体_GB2312" w:cs="Times New Roman"/>
          <w:sz w:val="32"/>
          <w:szCs w:val="32"/>
        </w:rPr>
        <w:t>（二）先期处置</w:t>
      </w:r>
      <w:bookmarkEnd w:id="31"/>
    </w:p>
    <w:p w14:paraId="107E787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在突发生态环境事件发生后，事发单位要立即启动本单位突发生态环境事件应急预案，指挥本单位应急救援队伍和工作人员营救受害人员，做好现场人员疏散和公共秩序维护；通报可能受到污染危害的单位和居民，按规定向县人民政府和有关部门报告；控制危险源，采取污染防治措施，防止发生次生、衍生灾害和危害扩大，控制污染物进入环境的途径，尽量降低对周边环境的影响。</w:t>
      </w:r>
    </w:p>
    <w:p w14:paraId="7DAEA29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县人民政府接到信息报告后，立即派出有关部门及应急救援队伍赶赴现场，迅速实施先期处置，果断控制或切断污染源，全力控制事件态势，避免污染物向环境扩散，严防二次污染和次生、衍生环境污染事件的发生。同时，指挥协调应急救援队伍开展救援行动，组织、动员和帮助群众开展个人污染防护工作。先期响应处置过程中的情况应随时报告县应急指挥部办公室。</w:t>
      </w:r>
    </w:p>
    <w:p w14:paraId="2D53FA0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sz w:val="32"/>
          <w:szCs w:val="32"/>
        </w:rPr>
      </w:pPr>
      <w:bookmarkStart w:id="32" w:name="heading_32"/>
      <w:r>
        <w:rPr>
          <w:rFonts w:hint="default" w:ascii="Times New Roman" w:hAnsi="Times New Roman" w:eastAsia="楷体_GB2312" w:cs="Times New Roman"/>
          <w:sz w:val="32"/>
          <w:szCs w:val="32"/>
        </w:rPr>
        <w:t>（三）响应分级</w:t>
      </w:r>
      <w:bookmarkEnd w:id="32"/>
    </w:p>
    <w:p w14:paraId="61CDC9C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根据突发生态环境事件的严重程度和发展态势，将应急响应设定为Ⅰ级、Ⅱ级、Ⅲ级和Ⅳ级四个等级。分别对应特别重大、重大、较大和一般突发生态环境事件。</w:t>
      </w:r>
    </w:p>
    <w:p w14:paraId="1B49ECC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Ⅰ级、Ⅱ级应急响应</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初判发生特别重大或重大突发生态环境事件时，由省政府分别启动Ⅰ级、Ⅱ级应急响应，市、县区政府及相关部门按照省政府统一安排部署参与应急响应工作。</w:t>
      </w:r>
    </w:p>
    <w:p w14:paraId="4862547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Ⅲ级应急响应</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初判发生较大突发生态环境事件时，由市政府负责启动Ⅲ级应急响应并负责突发生态环境事件的应对工作。县政府及相关部门按照市政府统一安排部署参与应急响应工作。</w:t>
      </w:r>
    </w:p>
    <w:p w14:paraId="3447107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3.Ⅳ级应急响应</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初判发生一般突发生态环境事件，由县政府负责启动Ⅳ级应急响应并负责突发生态环境事件的应对工作。根据需要，邀请市政府有关部门派出工作组给予指导和支持。</w:t>
      </w:r>
    </w:p>
    <w:p w14:paraId="0DBB1F7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4.响应级别调整</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1）突发生态环境事件发生在易造成重大影响的地区或重要时段时，可适当提高响应级别。应急响应启动后，可视事件损失情况及其发展趋势调整响应级别，避免响应不足或响应过度。（2）在应急处置过程中，当启动某一级别的响应措施后，污染不能有效控制，出现污染范围扩大、污染态势加重、达到更高级别的响应条件时，经指挥部研判决策，及时报告更高级别的指挥机构，调整响应级别，启动更高级别的响应。响应级别升高时，由新闻宣传组等配合指挥部发布响应级别调整信息。</w:t>
      </w:r>
    </w:p>
    <w:p w14:paraId="2AF2699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sz w:val="32"/>
          <w:szCs w:val="32"/>
        </w:rPr>
      </w:pPr>
      <w:bookmarkStart w:id="33" w:name="heading_33"/>
      <w:r>
        <w:rPr>
          <w:rFonts w:hint="default" w:ascii="Times New Roman" w:hAnsi="Times New Roman" w:eastAsia="楷体_GB2312" w:cs="Times New Roman"/>
          <w:sz w:val="32"/>
          <w:szCs w:val="32"/>
        </w:rPr>
        <w:t>（四）基本响应</w:t>
      </w:r>
      <w:bookmarkEnd w:id="33"/>
    </w:p>
    <w:p w14:paraId="465D1F7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参与突发生态环境事件处置的各相关部门和乡（镇）政府，应立即调动有关人员和处置队伍赶赴现场，在现场指挥部的统一指挥下，相互配合、密切协作，共同开展应急处置和救援工作。</w:t>
      </w:r>
    </w:p>
    <w:p w14:paraId="27A8C3B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县应急指挥部依据突发生态环境事件的级别和种类，适时派出专家组，共同参与事件的处置工作。专家组应根据上报和收集掌握的情况，对整个事件进行分析判断和事态评估，研究并提出应急处置措施，为现场指挥部提供决策咨询。现场指挥部应随时跟踪事态的进展情况，一旦发现事态有进一步扩大的趋势，有可能超出自身的控制能力，应立即向县应急指挥部发出请求，由市人民政府协助调配其他应急资源参与处置工作。同时应及时向事件可能波及的地区通报有关情况，必要时可通过媒体向社会发出预警。</w:t>
      </w:r>
    </w:p>
    <w:p w14:paraId="59FF3EB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sz w:val="32"/>
          <w:szCs w:val="32"/>
        </w:rPr>
      </w:pPr>
      <w:bookmarkStart w:id="34" w:name="heading_34"/>
      <w:r>
        <w:rPr>
          <w:rFonts w:hint="default" w:ascii="Times New Roman" w:hAnsi="Times New Roman" w:eastAsia="楷体_GB2312" w:cs="Times New Roman"/>
          <w:sz w:val="32"/>
          <w:szCs w:val="32"/>
        </w:rPr>
        <w:t>（五）应急准备</w:t>
      </w:r>
      <w:bookmarkEnd w:id="34"/>
    </w:p>
    <w:p w14:paraId="1C039B3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1.由应急指挥办公室根据接收的突发生态环境事件信息做好突发生态环境事件应急行动前的各项准备工作。</w:t>
      </w:r>
    </w:p>
    <w:p w14:paraId="700A58D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2.通知各应急组成员参加应急会议、分析事故情况及预期发展态势，制定现场救援方案等。</w:t>
      </w:r>
    </w:p>
    <w:p w14:paraId="481D3F4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3.各应急组检查人员及应急物资、应急装备等情况，提出不足和需要支援的项目。</w:t>
      </w:r>
    </w:p>
    <w:p w14:paraId="3667E08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4.辖区内相关污水处理厂报告应急事故池储存能力及可接收污水量。</w:t>
      </w:r>
    </w:p>
    <w:p w14:paraId="77C4A50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5.现场处置人员备齐防护装备集结到位。</w:t>
      </w:r>
    </w:p>
    <w:p w14:paraId="5B1E964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6.保持与消防、防疫、公安、交警、交通、城管、监测、卫生等专业救援部门的信息沟通，以备随时开展外援医疗救护、委托监测、应急救援等工作。</w:t>
      </w:r>
    </w:p>
    <w:p w14:paraId="559FFC1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sz w:val="32"/>
          <w:szCs w:val="32"/>
        </w:rPr>
      </w:pPr>
      <w:bookmarkStart w:id="35" w:name="heading_35"/>
      <w:r>
        <w:rPr>
          <w:rFonts w:hint="default" w:ascii="Times New Roman" w:hAnsi="Times New Roman" w:eastAsia="楷体_GB2312" w:cs="Times New Roman"/>
          <w:sz w:val="32"/>
          <w:szCs w:val="32"/>
        </w:rPr>
        <w:t>（六）响应措施</w:t>
      </w:r>
      <w:bookmarkEnd w:id="35"/>
    </w:p>
    <w:p w14:paraId="7B2507A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突发生态环境事件发生后，全县各有关部门、单位和相关乡（镇）人民政府根据工作需要，应迅速组织采取以下措施：</w:t>
      </w:r>
    </w:p>
    <w:p w14:paraId="702A53B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bookmarkStart w:id="36" w:name="heading_36"/>
      <w:r>
        <w:rPr>
          <w:rFonts w:hint="default" w:ascii="Times New Roman" w:hAnsi="Times New Roman" w:eastAsia="仿宋_GB2312" w:cs="Times New Roman"/>
          <w:sz w:val="32"/>
          <w:szCs w:val="32"/>
        </w:rPr>
        <w:t>1.现场污染处置</w:t>
      </w:r>
      <w:bookmarkEnd w:id="36"/>
    </w:p>
    <w:p w14:paraId="686483E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现场应急处置按照“先控制，后处理”的原则，迅速实施先期处置，优先控制污染源，尽快阻止污染物继续排放外泄。尽可能控制和缩小已排出污染物的扩散、蔓延范围，把突发生态环境事件危害程度降低到</w:t>
      </w:r>
      <w:r>
        <w:rPr>
          <w:rFonts w:hint="default" w:ascii="Times New Roman" w:hAnsi="Times New Roman" w:eastAsia="仿宋_GB2312" w:cs="Times New Roman"/>
          <w:sz w:val="32"/>
          <w:szCs w:val="32"/>
          <w:lang w:eastAsia="zh-CN"/>
        </w:rPr>
        <w:t>最低</w:t>
      </w:r>
      <w:r>
        <w:rPr>
          <w:rFonts w:hint="default" w:ascii="Times New Roman" w:hAnsi="Times New Roman" w:eastAsia="仿宋_GB2312" w:cs="Times New Roman"/>
          <w:sz w:val="32"/>
          <w:szCs w:val="32"/>
        </w:rPr>
        <w:t>程度。</w:t>
      </w:r>
    </w:p>
    <w:p w14:paraId="64A6C7E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县人民政府、县生态环境分局根据事态组织制定综合治污方案，应急救援队伍到达事发现场后，立即采取措施保护现场。采用监测和模拟等手段追踪污染物扩散途径和范围。切断污染源和隔离污染区，防止污染事故进一步扩大，采取有效措施，消除污染危害。必要时采取强制措施，责令其他排污单位停产、限产、限排</w:t>
      </w:r>
      <w:r>
        <w:rPr>
          <w:rFonts w:hint="default" w:ascii="Times New Roman" w:hAnsi="Times New Roman" w:eastAsia="仿宋_GB2312" w:cs="Times New Roman"/>
          <w:sz w:val="32"/>
          <w:szCs w:val="32"/>
          <w:lang w:eastAsia="zh-CN"/>
        </w:rPr>
        <w:t>或</w:t>
      </w:r>
      <w:r>
        <w:rPr>
          <w:rFonts w:hint="default" w:ascii="Times New Roman" w:hAnsi="Times New Roman" w:eastAsia="仿宋_GB2312" w:cs="Times New Roman"/>
          <w:sz w:val="32"/>
          <w:szCs w:val="32"/>
        </w:rPr>
        <w:t>停止排放污染物，以解除或者减轻危害。</w:t>
      </w:r>
    </w:p>
    <w:p w14:paraId="7B1BAB2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应急救援队伍在做好现场处置的同时，对事故开展调查，收集与事故发生有关的所有材料，包括实物取证，摄影录像等，了解事故经过，做好笔录，现场采样，进行监测分析，对事故造成的经济损失和环境破坏等进行评估。</w:t>
      </w:r>
    </w:p>
    <w:p w14:paraId="56CEE8B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bookmarkStart w:id="37" w:name="heading_37"/>
      <w:r>
        <w:rPr>
          <w:rFonts w:hint="default" w:ascii="Times New Roman" w:hAnsi="Times New Roman" w:eastAsia="仿宋_GB2312" w:cs="Times New Roman"/>
          <w:sz w:val="32"/>
          <w:szCs w:val="32"/>
        </w:rPr>
        <w:t>2.现场安全与防护</w:t>
      </w:r>
      <w:bookmarkEnd w:id="37"/>
    </w:p>
    <w:p w14:paraId="185B031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（1）应急人员的安全防护</w:t>
      </w:r>
    </w:p>
    <w:p w14:paraId="6031E92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应急指挥部办公室应结合县域内各企业生产的特点，分析可能发生突发生态环境事件的特点，制定应急救援人员安全防护措施。</w:t>
      </w:r>
    </w:p>
    <w:p w14:paraId="19515DC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现场处置人员应根据不同类型环境事件的特点，配备相应的专业防护装备，采取安全防护措施，严格执行现场相关规定。应急救援时，所有到达事故现场的应急人员（现场指挥、应急监测、调查取证、应急处置、应急救援、应急协助、医疗救援等）都应严格执行突发生态环境事件应急人员出入事发现场的相关程序。</w:t>
      </w:r>
    </w:p>
    <w:p w14:paraId="45A88F8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（2）受灾群众的安全防护</w:t>
      </w:r>
    </w:p>
    <w:p w14:paraId="3BDCD8D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应急指挥部各相关工作组负责组织群众的安全防护工作，主要工作内容如下：</w:t>
      </w:r>
    </w:p>
    <w:p w14:paraId="17563AB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①根据突发生态环境事件的性质、特点，告知群众应采取的安全防护措施；</w:t>
      </w:r>
    </w:p>
    <w:p w14:paraId="01AB914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②根据事发时当地的气象、地理环境、人员密集度等，确定群众疏散的方式，指定有关部门组织群众安全疏散撤离；</w:t>
      </w:r>
    </w:p>
    <w:p w14:paraId="2ABBAC2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③在事发地安全边界以外，设立紧急避难场所；</w:t>
      </w:r>
    </w:p>
    <w:p w14:paraId="4815557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④根据引发事故的环境风险特性，提出患者医疗救护方案的建议。</w:t>
      </w:r>
    </w:p>
    <w:p w14:paraId="7199103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bookmarkStart w:id="38" w:name="heading_38"/>
      <w:r>
        <w:rPr>
          <w:rFonts w:hint="default" w:ascii="Times New Roman" w:hAnsi="Times New Roman" w:eastAsia="仿宋_GB2312" w:cs="Times New Roman"/>
          <w:sz w:val="32"/>
          <w:szCs w:val="32"/>
        </w:rPr>
        <w:t>3.转移安置人员</w:t>
      </w:r>
      <w:bookmarkEnd w:id="38"/>
    </w:p>
    <w:p w14:paraId="1845890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在突发生态环境事件可能</w:t>
      </w:r>
      <w:r>
        <w:rPr>
          <w:rFonts w:hint="default" w:ascii="Times New Roman" w:hAnsi="Times New Roman" w:eastAsia="仿宋_GB2312" w:cs="Times New Roman"/>
          <w:sz w:val="32"/>
          <w:szCs w:val="32"/>
          <w:lang w:eastAsia="zh-CN"/>
        </w:rPr>
        <w:t>波及</w:t>
      </w:r>
      <w:r>
        <w:rPr>
          <w:rFonts w:hint="default" w:ascii="Times New Roman" w:hAnsi="Times New Roman" w:eastAsia="仿宋_GB2312" w:cs="Times New Roman"/>
          <w:sz w:val="32"/>
          <w:szCs w:val="32"/>
        </w:rPr>
        <w:t>的区域建立现场警戒区、交通管制区域和重点防护区域，除参加应急救援的人员、指挥人员及其他需要留岗人员之外，其余人员全部撤离，撤离工作根据医学救援组职责分工开展。</w:t>
      </w:r>
    </w:p>
    <w:p w14:paraId="7754744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现场污染物性质特点，确定受威胁人员疏散的方式和途径，有组织、有秩序地及时疏散转移受威胁人员和可能受影响地区居民，妥善做好转移人员的安置工作。确保有饭吃、有水喝、有衣穿、有住处和必要的医疗条件。</w:t>
      </w:r>
    </w:p>
    <w:p w14:paraId="05E5EA6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bookmarkStart w:id="39" w:name="heading_39"/>
      <w:r>
        <w:rPr>
          <w:rFonts w:hint="default" w:ascii="Times New Roman" w:hAnsi="Times New Roman" w:eastAsia="仿宋_GB2312" w:cs="Times New Roman"/>
          <w:sz w:val="32"/>
          <w:szCs w:val="32"/>
        </w:rPr>
        <w:t>4.启动应急监测</w:t>
      </w:r>
      <w:bookmarkEnd w:id="39"/>
    </w:p>
    <w:p w14:paraId="5E6FFBC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事件发生后，应急监测组应立即开展污染源及其周围大气、水体、土壤等环境的应急监测工作。</w:t>
      </w:r>
    </w:p>
    <w:p w14:paraId="5DA228B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环境监测人员应根据突发生态环境事件的污染物种类、性质、相态、扩散速度以及事发地气象和地域特点，周边地表水、地下水、环境敏感区的分布情况，明确相应的应急监测方案及监测方法，确定监测的布点和频次，调配应急监测设备、车辆，及时准确监测。事件发生初期，要根据突发生态环境事件的严重程度，适当增加监测点位和频次；随着污染物的扩散情况和监测结果的变化趋势，科学调整监测频次和监测点位。优先选用污染物现场快速监测法，当不具备快速监测条件和监测技术时，或需对污染物程度和污染范围进行精确判断时，应尽快将污染物样品送至环境监测站实验室进行分析检测。</w:t>
      </w:r>
    </w:p>
    <w:p w14:paraId="18251A4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在肃南县应急监测能力无法满足应急需要时，由县生态环境分局负责请求市监测站或省级监测单位增援。在市监测站或省级监测单位应急监测部门到达后，配合其对突发生态环境事件现场周边进行环境污染应急监测。根据监测结果，综合分析突发生态环境事件污染物浓度的时空变化趋势，并通过咨询专家和模型预测等方式，预测、报告突发生态环境事件的发展情况和污染物扩散方式，为应急指挥部决策提供技术支撑。</w:t>
      </w:r>
    </w:p>
    <w:p w14:paraId="14D7FBA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bookmarkStart w:id="40" w:name="heading_40"/>
      <w:r>
        <w:rPr>
          <w:rFonts w:hint="default" w:ascii="Times New Roman" w:hAnsi="Times New Roman" w:eastAsia="仿宋_GB2312" w:cs="Times New Roman"/>
          <w:sz w:val="32"/>
          <w:szCs w:val="32"/>
        </w:rPr>
        <w:t>5.市场监管和调控</w:t>
      </w:r>
      <w:bookmarkEnd w:id="40"/>
    </w:p>
    <w:p w14:paraId="333429B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密切关注受事件影响地区市场供应情况及公众</w:t>
      </w:r>
      <w:r>
        <w:rPr>
          <w:rFonts w:hint="default" w:ascii="Times New Roman" w:hAnsi="Times New Roman" w:eastAsia="仿宋_GB2312" w:cs="Times New Roman"/>
          <w:sz w:val="32"/>
          <w:szCs w:val="32"/>
          <w:lang w:eastAsia="zh-CN"/>
        </w:rPr>
        <w:t>反映</w:t>
      </w:r>
      <w:r>
        <w:rPr>
          <w:rFonts w:hint="default" w:ascii="Times New Roman" w:hAnsi="Times New Roman" w:eastAsia="仿宋_GB2312" w:cs="Times New Roman"/>
          <w:sz w:val="32"/>
          <w:szCs w:val="32"/>
        </w:rPr>
        <w:t>，安排相关单位或部门加强对重要生活必需品等商品的市场监管和调控。禁止或限制受污染食品和饮用水的生产、加工、流通和食用，防范因突发生态环境事件造成的集体中毒等。</w:t>
      </w:r>
    </w:p>
    <w:p w14:paraId="3310683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bookmarkStart w:id="41" w:name="heading_41"/>
      <w:r>
        <w:rPr>
          <w:rFonts w:hint="default" w:ascii="Times New Roman" w:hAnsi="Times New Roman" w:eastAsia="仿宋_GB2312" w:cs="Times New Roman"/>
          <w:sz w:val="32"/>
          <w:szCs w:val="32"/>
        </w:rPr>
        <w:t>6.信息发布和舆论引导</w:t>
      </w:r>
      <w:bookmarkEnd w:id="41"/>
    </w:p>
    <w:p w14:paraId="28C4BFC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通过县政府授权发布、发新闻稿、接受记者采访、举行新闻发布会、组织专家解读等方式，借助电视、广播、报纸、互联网等多种途径，主动、及时、准确、客观地向社会发布突发生态环境事件和应对工作信息，回应社会关切，澄清不实信息，正确引导社会舆论。对涉及特别重大、重大突发生态环境事件的舆情，要快速反应、及时发声，在5小时内发布权威信息，在24小时内举行新闻发布会；对其他舆情应在48小时内予以回应，并根据工作进展情况，持续发布权威信息。</w:t>
      </w:r>
    </w:p>
    <w:p w14:paraId="78366DD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信息发布内容包括事件原因、污染程度、影响范围、应对措施、需要公众配合采取的措施、公众防范常识和事件调查处理进展情况等。</w:t>
      </w:r>
    </w:p>
    <w:p w14:paraId="03B86B9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bookmarkStart w:id="42" w:name="heading_42"/>
      <w:r>
        <w:rPr>
          <w:rFonts w:hint="default" w:ascii="Times New Roman" w:hAnsi="Times New Roman" w:eastAsia="仿宋_GB2312" w:cs="Times New Roman"/>
          <w:sz w:val="32"/>
          <w:szCs w:val="32"/>
        </w:rPr>
        <w:t>7.维护社会稳定</w:t>
      </w:r>
      <w:bookmarkEnd w:id="42"/>
    </w:p>
    <w:p w14:paraId="27C9C5F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加强受影响地区社会治安管理，严厉打击借机传播谣言制造社会恐慌、哄抢救灾物资等违法犯罪行为；加强转移人员安置点、救灾物资存放点等重点地区治安管控；做好受影响人员与涉事单位、事发地人民政府及有关部门矛盾纠纷化解和法律服务工作，防止出现群体性事件，维护社会稳定。</w:t>
      </w:r>
    </w:p>
    <w:p w14:paraId="0EB7FB4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sz w:val="32"/>
          <w:szCs w:val="32"/>
        </w:rPr>
      </w:pPr>
      <w:bookmarkStart w:id="43" w:name="heading_43"/>
      <w:r>
        <w:rPr>
          <w:rFonts w:hint="default" w:ascii="Times New Roman" w:hAnsi="Times New Roman" w:eastAsia="楷体_GB2312" w:cs="Times New Roman"/>
          <w:sz w:val="32"/>
          <w:szCs w:val="32"/>
        </w:rPr>
        <w:t>（七）应急响应终止</w:t>
      </w:r>
      <w:bookmarkEnd w:id="43"/>
    </w:p>
    <w:p w14:paraId="29EAF19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当事件条件已经排除、污染物质已降至规定限值以内、所造成的危害基本消除时，由县政府终止应急响应。</w:t>
      </w:r>
    </w:p>
    <w:p w14:paraId="2155ECD6">
      <w:pPr>
        <w:keepNext w:val="0"/>
        <w:keepLines w:val="0"/>
        <w:pageBreakBefore w:val="0"/>
        <w:widowControl w:val="0"/>
        <w:kinsoku/>
        <w:wordWrap/>
        <w:overflowPunct/>
        <w:topLinePunct w:val="0"/>
        <w:autoSpaceDE/>
        <w:autoSpaceDN/>
        <w:bidi w:val="0"/>
        <w:adjustRightInd/>
        <w:snapToGrid/>
        <w:spacing w:line="560" w:lineRule="exact"/>
        <w:ind w:firstLine="320" w:firstLineChars="100"/>
        <w:textAlignment w:val="auto"/>
        <w:rPr>
          <w:rFonts w:hint="default" w:ascii="Times New Roman" w:hAnsi="Times New Roman" w:eastAsia="黑体" w:cs="Times New Roman"/>
          <w:sz w:val="32"/>
          <w:szCs w:val="32"/>
        </w:rPr>
      </w:pPr>
      <w:bookmarkStart w:id="44" w:name="heading_44"/>
      <w:r>
        <w:rPr>
          <w:rFonts w:hint="default" w:ascii="Times New Roman" w:hAnsi="Times New Roman" w:eastAsia="黑体" w:cs="Times New Roman"/>
          <w:sz w:val="32"/>
          <w:szCs w:val="32"/>
        </w:rPr>
        <w:t>六、后期处置</w:t>
      </w:r>
      <w:bookmarkEnd w:id="44"/>
    </w:p>
    <w:p w14:paraId="59E71A5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sz w:val="32"/>
          <w:szCs w:val="32"/>
        </w:rPr>
      </w:pPr>
      <w:bookmarkStart w:id="45" w:name="heading_45"/>
      <w:r>
        <w:rPr>
          <w:rFonts w:hint="default" w:ascii="Times New Roman" w:hAnsi="Times New Roman" w:eastAsia="楷体_GB2312" w:cs="Times New Roman"/>
          <w:sz w:val="32"/>
          <w:szCs w:val="32"/>
        </w:rPr>
        <w:t>（一）损害评估</w:t>
      </w:r>
      <w:bookmarkEnd w:id="45"/>
    </w:p>
    <w:p w14:paraId="2380ADD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突发生态环境事件应急响应终止后，要及时组织开展污染损害评估，并将评估结果向社会公布。评估结论作为事件调查处理、损害赔偿、环境修复和生态恢复重建的重要依据。</w:t>
      </w:r>
    </w:p>
    <w:p w14:paraId="1583B8F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突发生态环境事件损害评估工作按照生态环境部规定执行。</w:t>
      </w:r>
    </w:p>
    <w:p w14:paraId="457BD45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sz w:val="32"/>
          <w:szCs w:val="32"/>
        </w:rPr>
      </w:pPr>
      <w:bookmarkStart w:id="46" w:name="heading_46"/>
      <w:r>
        <w:rPr>
          <w:rFonts w:hint="default" w:ascii="Times New Roman" w:hAnsi="Times New Roman" w:eastAsia="楷体_GB2312" w:cs="Times New Roman"/>
          <w:sz w:val="32"/>
          <w:szCs w:val="32"/>
        </w:rPr>
        <w:t>（二）事件调查</w:t>
      </w:r>
      <w:bookmarkEnd w:id="46"/>
    </w:p>
    <w:p w14:paraId="5C54790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突发生态环境事件处置完毕后，根据有关规定，由县生态环境分局牵头，会同相关部门组成调查组，组织开展事件调查工作，查明事件原因和性质，评估事件影响，提出整改防范措施和处理建议。</w:t>
      </w:r>
    </w:p>
    <w:p w14:paraId="12A6318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生态环境部负责组织特别重大和重大突发生态环境事件的调查处理；省生态环境厅负责组织较大突发生态环境事件的调查处理；市生态环境主管部门视情况负责组织一般突发生态环境事件的调查处理。市级生态环境主管部门可视情委托县级生态环境主管部门开展调查处理，也可对由县级生态环境主管部门负责的突发生态环境事件直接组织调查处理。</w:t>
      </w:r>
    </w:p>
    <w:p w14:paraId="2DA60F9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sz w:val="32"/>
          <w:szCs w:val="32"/>
        </w:rPr>
      </w:pPr>
      <w:bookmarkStart w:id="47" w:name="heading_47"/>
      <w:r>
        <w:rPr>
          <w:rFonts w:hint="default" w:ascii="Times New Roman" w:hAnsi="Times New Roman" w:eastAsia="楷体_GB2312" w:cs="Times New Roman"/>
          <w:sz w:val="32"/>
          <w:szCs w:val="32"/>
        </w:rPr>
        <w:t>（三）善后处置</w:t>
      </w:r>
      <w:bookmarkEnd w:id="47"/>
    </w:p>
    <w:p w14:paraId="426F304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善后处理工作由县政府负责，在县委、县政府统一指挥下，各有关部门在各自的职责范围内组织实施善后处置工作，组织有关专家对受灾范围进行科学评估，提出补偿和对遭受污染的生态环境进行恢复和监管的建议。</w:t>
      </w:r>
    </w:p>
    <w:p w14:paraId="04A3D22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1.对突发生态环境事件造成伤亡的人员及时进行医疗救助或按规定给予抚恤，对造成生产生活困难的群众进行妥善安置，对紧急调集、征用的人力物力按照规定给予补偿。</w:t>
      </w:r>
    </w:p>
    <w:p w14:paraId="3F7DBB9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2.及时下达救助资金和物资，民政部门要严格管理社会救助资金和物资，监察、审计部门要</w:t>
      </w:r>
      <w:r>
        <w:rPr>
          <w:rFonts w:hint="default" w:ascii="Times New Roman" w:hAnsi="Times New Roman" w:eastAsia="仿宋_GB2312" w:cs="Times New Roman"/>
          <w:sz w:val="32"/>
          <w:szCs w:val="32"/>
          <w:lang w:eastAsia="zh-CN"/>
        </w:rPr>
        <w:t>加大</w:t>
      </w:r>
      <w:r>
        <w:rPr>
          <w:rFonts w:hint="default" w:ascii="Times New Roman" w:hAnsi="Times New Roman" w:eastAsia="仿宋_GB2312" w:cs="Times New Roman"/>
          <w:sz w:val="32"/>
          <w:szCs w:val="32"/>
        </w:rPr>
        <w:t>监督力度。</w:t>
      </w:r>
    </w:p>
    <w:p w14:paraId="0E99F13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3.组织有关专家对受灾情况、受灾范围进行科学评估，提出补偿和对遭受污染的生态环境进行恢复的建议。</w:t>
      </w:r>
    </w:p>
    <w:p w14:paraId="2421567C">
      <w:pPr>
        <w:keepNext w:val="0"/>
        <w:keepLines w:val="0"/>
        <w:pageBreakBefore w:val="0"/>
        <w:widowControl w:val="0"/>
        <w:kinsoku/>
        <w:wordWrap/>
        <w:overflowPunct/>
        <w:topLinePunct w:val="0"/>
        <w:autoSpaceDE/>
        <w:autoSpaceDN/>
        <w:bidi w:val="0"/>
        <w:adjustRightInd/>
        <w:snapToGrid/>
        <w:spacing w:line="560" w:lineRule="exact"/>
        <w:ind w:firstLine="320" w:firstLineChars="100"/>
        <w:textAlignment w:val="auto"/>
        <w:rPr>
          <w:rFonts w:hint="default" w:ascii="Times New Roman" w:hAnsi="Times New Roman" w:eastAsia="黑体" w:cs="Times New Roman"/>
          <w:sz w:val="32"/>
          <w:szCs w:val="32"/>
        </w:rPr>
      </w:pPr>
      <w:bookmarkStart w:id="48" w:name="heading_48"/>
      <w:r>
        <w:rPr>
          <w:rFonts w:hint="default" w:ascii="Times New Roman" w:hAnsi="Times New Roman" w:eastAsia="黑体" w:cs="Times New Roman"/>
          <w:sz w:val="32"/>
          <w:szCs w:val="32"/>
        </w:rPr>
        <w:t>七、应急保障</w:t>
      </w:r>
      <w:bookmarkEnd w:id="48"/>
    </w:p>
    <w:p w14:paraId="7DC7D01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sz w:val="32"/>
          <w:szCs w:val="32"/>
        </w:rPr>
      </w:pPr>
      <w:bookmarkStart w:id="49" w:name="heading_49"/>
      <w:r>
        <w:rPr>
          <w:rFonts w:hint="default" w:ascii="Times New Roman" w:hAnsi="Times New Roman" w:eastAsia="楷体_GB2312" w:cs="Times New Roman"/>
          <w:sz w:val="32"/>
          <w:szCs w:val="32"/>
        </w:rPr>
        <w:t>（一）预案保障</w:t>
      </w:r>
      <w:bookmarkEnd w:id="49"/>
    </w:p>
    <w:p w14:paraId="76660BB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国家相关法律法规及《甘肃省突发生态环境事件应急预案》《张掖市突发生态环境事件应急预案》《肃南县突发事件总体应急预案》等相关要求，县政府要组织督促县生态环境主管部门制定、完善各级突发生态环境事件应急预案，做到责任落实、组织落实、方案落实、保障落实。各成员单位要按照职责分工，制定本部门突发生态环境事件应急预案或实施方案，报县生态环境主管部门备案。</w:t>
      </w:r>
    </w:p>
    <w:p w14:paraId="46F55A6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sz w:val="32"/>
          <w:szCs w:val="32"/>
        </w:rPr>
      </w:pPr>
      <w:bookmarkStart w:id="50" w:name="heading_50"/>
      <w:r>
        <w:rPr>
          <w:rFonts w:hint="default" w:ascii="Times New Roman" w:hAnsi="Times New Roman" w:eastAsia="楷体_GB2312" w:cs="Times New Roman"/>
          <w:sz w:val="32"/>
          <w:szCs w:val="32"/>
        </w:rPr>
        <w:t>（二）应急力量保障</w:t>
      </w:r>
      <w:bookmarkEnd w:id="50"/>
    </w:p>
    <w:p w14:paraId="02FDFD7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全县各级环境应急管理和监测队伍、消防救援队伍、大型骨干企业应急救援队伍及其他相关方面应急救援队伍等力量，要积极承担突发生态环境事件应急监测、应急处置与救援、调查处理等工作任务。加强环境应急专家管理，发挥环境应急专家队伍作用，为突发生态环境事件应急处置方案制订、污染损害评估和调查处理工作提供决策建议。各乡（镇）人民政府、重点行业领域、大型企业要强化环境应急救援队伍能力建设，提高突发生态环境事件快速响应及应急处置能力，构建由政府、重点行业和相关企业专（兼）职应急队伍组成的环境应急队伍体系。</w:t>
      </w:r>
    </w:p>
    <w:p w14:paraId="1F86FAC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sz w:val="32"/>
          <w:szCs w:val="32"/>
        </w:rPr>
      </w:pPr>
      <w:bookmarkStart w:id="51" w:name="heading_51"/>
      <w:r>
        <w:rPr>
          <w:rFonts w:hint="default" w:ascii="Times New Roman" w:hAnsi="Times New Roman" w:eastAsia="楷体_GB2312" w:cs="Times New Roman"/>
          <w:sz w:val="32"/>
          <w:szCs w:val="32"/>
        </w:rPr>
        <w:t>（三）物资与资金保障</w:t>
      </w:r>
      <w:bookmarkEnd w:id="51"/>
    </w:p>
    <w:p w14:paraId="1D20C96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县人民政府和县突发生态环境事件应急指挥部成员单位在现有装备的基础上，根据突发生态环境事件应急处置需要，按照职责分工有计划、有针对性地做好突发环境应急救援物资紧急生产、储备调拨和紧急配送工作，保障支援突发生态环境事件应急处置和环境恢复治理工作的需要。各乡（镇）人民政府及其有关部门要建立应急物资储备制度，配备必要的环境应急装备和设备，加强应急物资储备；鼓励支持社会化应急物资储备，确保环境应急所需物资及时供应。应急部门要加强对当地环境应急物资储备信息的动态管理。</w:t>
      </w:r>
    </w:p>
    <w:p w14:paraId="14356F1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突发生态环境事件应急处置所需经费首先由事件责任单位或肇事人承担。应急处置结束后，据实核销应急处置费用，财政部门负责按照分级负担原则为突发生态环境事件应急处置工作提供资金保障。</w:t>
      </w:r>
    </w:p>
    <w:p w14:paraId="5387603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sz w:val="32"/>
          <w:szCs w:val="32"/>
        </w:rPr>
      </w:pPr>
      <w:bookmarkStart w:id="52" w:name="heading_52"/>
      <w:r>
        <w:rPr>
          <w:rFonts w:hint="default" w:ascii="Times New Roman" w:hAnsi="Times New Roman" w:eastAsia="楷体_GB2312" w:cs="Times New Roman"/>
          <w:sz w:val="32"/>
          <w:szCs w:val="32"/>
        </w:rPr>
        <w:t>（四）通信、交通与运输保障</w:t>
      </w:r>
      <w:bookmarkEnd w:id="52"/>
    </w:p>
    <w:p w14:paraId="4BE758E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各乡（镇）人民政府和通信主管部门要建立健全突发生态环境事件应急通信保障体系，通信管理部门负责组织、协调通信运营企业，确保应急期间通信联络和信息传递需要。发改和交通部门要健全公路、铁路紧急运输保障体系，保障应急响应所需人员、物资、装备、器材等的运输。公安部门要加强应急交通安全管理，保障运送伤病员、应急救援人员、物资、装备、器材车辆的优先通行。</w:t>
      </w:r>
    </w:p>
    <w:p w14:paraId="02C7AD0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sz w:val="32"/>
          <w:szCs w:val="32"/>
        </w:rPr>
      </w:pPr>
      <w:bookmarkStart w:id="53" w:name="heading_53"/>
      <w:r>
        <w:rPr>
          <w:rFonts w:hint="default" w:ascii="Times New Roman" w:hAnsi="Times New Roman" w:eastAsia="楷体_GB2312" w:cs="Times New Roman"/>
          <w:sz w:val="32"/>
          <w:szCs w:val="32"/>
        </w:rPr>
        <w:t>（五）技术保障</w:t>
      </w:r>
      <w:bookmarkEnd w:id="53"/>
    </w:p>
    <w:p w14:paraId="775B262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建立科学的环境应急指挥技术平台，实现信息综合集成、分析处理、污染损害评估的智能化和数字化。建立完善各级环境风险基础信息数据库，加强区域环境风险调查、评估等常态工作。</w:t>
      </w:r>
    </w:p>
    <w:p w14:paraId="0D7AA017">
      <w:pPr>
        <w:keepNext w:val="0"/>
        <w:keepLines w:val="0"/>
        <w:pageBreakBefore w:val="0"/>
        <w:widowControl w:val="0"/>
        <w:kinsoku/>
        <w:wordWrap/>
        <w:overflowPunct/>
        <w:topLinePunct w:val="0"/>
        <w:autoSpaceDE/>
        <w:autoSpaceDN/>
        <w:bidi w:val="0"/>
        <w:adjustRightInd/>
        <w:snapToGrid/>
        <w:spacing w:line="560" w:lineRule="exact"/>
        <w:ind w:firstLine="320" w:firstLineChars="100"/>
        <w:textAlignment w:val="auto"/>
        <w:rPr>
          <w:rFonts w:hint="default" w:ascii="Times New Roman" w:hAnsi="Times New Roman" w:eastAsia="黑体" w:cs="Times New Roman"/>
          <w:sz w:val="32"/>
          <w:szCs w:val="32"/>
        </w:rPr>
      </w:pPr>
      <w:bookmarkStart w:id="54" w:name="heading_54"/>
      <w:r>
        <w:rPr>
          <w:rFonts w:hint="default" w:ascii="Times New Roman" w:hAnsi="Times New Roman" w:eastAsia="黑体" w:cs="Times New Roman"/>
          <w:sz w:val="32"/>
          <w:szCs w:val="32"/>
        </w:rPr>
        <w:t>八、预案管理</w:t>
      </w:r>
      <w:bookmarkEnd w:id="54"/>
    </w:p>
    <w:p w14:paraId="2E6C100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sz w:val="32"/>
          <w:szCs w:val="32"/>
        </w:rPr>
      </w:pPr>
      <w:bookmarkStart w:id="55" w:name="heading_55"/>
      <w:r>
        <w:rPr>
          <w:rFonts w:hint="default" w:ascii="Times New Roman" w:hAnsi="Times New Roman" w:eastAsia="楷体_GB2312" w:cs="Times New Roman"/>
          <w:sz w:val="32"/>
          <w:szCs w:val="32"/>
        </w:rPr>
        <w:t>（一）预案宣传与培训</w:t>
      </w:r>
      <w:bookmarkEnd w:id="55"/>
    </w:p>
    <w:p w14:paraId="6D0186A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县应急指挥部应加强突发生态环境事件的公众宣传教育，广泛宣传环境</w:t>
      </w:r>
      <w:r>
        <w:rPr>
          <w:rFonts w:hint="default" w:ascii="Times New Roman" w:hAnsi="Times New Roman" w:eastAsia="仿宋_GB2312" w:cs="Times New Roman"/>
          <w:sz w:val="32"/>
          <w:szCs w:val="32"/>
          <w:lang w:eastAsia="zh-CN"/>
        </w:rPr>
        <w:t>应急法律法规</w:t>
      </w:r>
      <w:r>
        <w:rPr>
          <w:rFonts w:hint="default" w:ascii="Times New Roman" w:hAnsi="Times New Roman" w:eastAsia="仿宋_GB2312" w:cs="Times New Roman"/>
          <w:sz w:val="32"/>
          <w:szCs w:val="32"/>
        </w:rPr>
        <w:t>、政策和预防、避险、自救、互救等常识，增强公众的防范意识和相关心理准备，提高公众的防范能力。</w:t>
      </w:r>
    </w:p>
    <w:p w14:paraId="61A4507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县突发生态环境事件应急指挥部及其成员单位应有计划地开展突发生态环境事件应急专业技术人员日常培训，加强重点单位、重点部位、重点基础设施等重要目标工作人员培训和管理，培养一批训练有素的环境应急处置、检验、监测等专门人才。</w:t>
      </w:r>
    </w:p>
    <w:p w14:paraId="45A742D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sz w:val="32"/>
          <w:szCs w:val="32"/>
        </w:rPr>
      </w:pPr>
      <w:bookmarkStart w:id="56" w:name="heading_56"/>
      <w:r>
        <w:rPr>
          <w:rFonts w:hint="default" w:ascii="Times New Roman" w:hAnsi="Times New Roman" w:eastAsia="楷体_GB2312" w:cs="Times New Roman"/>
          <w:sz w:val="32"/>
          <w:szCs w:val="32"/>
        </w:rPr>
        <w:t>（二）应急演练</w:t>
      </w:r>
      <w:bookmarkEnd w:id="56"/>
    </w:p>
    <w:p w14:paraId="15425F6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县应急指挥部成员单位要按照突发生态环境事件应急预案，参与县生态环境分局组织的突发生态环境事件应急演练，提高防范和处置突发生态环境事件的能力和水平。</w:t>
      </w:r>
    </w:p>
    <w:p w14:paraId="7B1B05E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sz w:val="32"/>
          <w:szCs w:val="32"/>
        </w:rPr>
      </w:pPr>
      <w:bookmarkStart w:id="57" w:name="heading_57"/>
      <w:r>
        <w:rPr>
          <w:rFonts w:hint="default" w:ascii="Times New Roman" w:hAnsi="Times New Roman" w:eastAsia="楷体_GB2312" w:cs="Times New Roman"/>
          <w:sz w:val="32"/>
          <w:szCs w:val="32"/>
        </w:rPr>
        <w:t>（三）预案修订</w:t>
      </w:r>
      <w:bookmarkEnd w:id="57"/>
    </w:p>
    <w:p w14:paraId="15F3C22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县生态环境分局应根据有关法律法规、部门职责或应急资源发生的变化以及突发生态环境事件应对中出现的新情况和新问题，及时修订本级突发生态环境事件应急预案，修订应急预案应当在风险评估和应急资源调查的基础上进行，确保应急预案的可操作性。</w:t>
      </w:r>
    </w:p>
    <w:p w14:paraId="509C5FC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有下列情形之一的，应当及时修订应急预案：有关</w:t>
      </w:r>
      <w:r>
        <w:rPr>
          <w:rFonts w:hint="default" w:ascii="Times New Roman" w:hAnsi="Times New Roman" w:eastAsia="仿宋_GB2312" w:cs="Times New Roman"/>
          <w:sz w:val="32"/>
          <w:szCs w:val="32"/>
          <w:lang w:eastAsia="zh-CN"/>
        </w:rPr>
        <w:t>法律法规</w:t>
      </w:r>
      <w:r>
        <w:rPr>
          <w:rFonts w:hint="default" w:ascii="Times New Roman" w:hAnsi="Times New Roman" w:eastAsia="仿宋_GB2312" w:cs="Times New Roman"/>
          <w:sz w:val="32"/>
          <w:szCs w:val="32"/>
        </w:rPr>
        <w:t>、规章、标准、上位预案中的有关规定发生变化的；应急指挥机构及其职责发生重大调整的；面临的风险发生重大变化的；重要应急资源发生重大变化的；预案中的其他重要信息发生变化的；在突发事件应对和应急演练中发现需做重大调整的；应急预案制定单位认为应当修订的其他情况。</w:t>
      </w:r>
    </w:p>
    <w:p w14:paraId="1F631AB6">
      <w:pPr>
        <w:keepNext w:val="0"/>
        <w:keepLines w:val="0"/>
        <w:pageBreakBefore w:val="0"/>
        <w:widowControl w:val="0"/>
        <w:kinsoku/>
        <w:wordWrap/>
        <w:overflowPunct/>
        <w:topLinePunct w:val="0"/>
        <w:autoSpaceDE/>
        <w:autoSpaceDN/>
        <w:bidi w:val="0"/>
        <w:adjustRightInd/>
        <w:snapToGrid/>
        <w:spacing w:line="560" w:lineRule="exact"/>
        <w:ind w:firstLine="320" w:firstLineChars="100"/>
        <w:textAlignment w:val="auto"/>
        <w:rPr>
          <w:rFonts w:hint="default" w:ascii="Times New Roman" w:hAnsi="Times New Roman" w:eastAsia="黑体" w:cs="Times New Roman"/>
          <w:sz w:val="32"/>
          <w:szCs w:val="32"/>
        </w:rPr>
      </w:pPr>
      <w:bookmarkStart w:id="58" w:name="heading_58"/>
      <w:r>
        <w:rPr>
          <w:rFonts w:hint="default" w:ascii="Times New Roman" w:hAnsi="Times New Roman" w:eastAsia="黑体" w:cs="Times New Roman"/>
          <w:sz w:val="32"/>
          <w:szCs w:val="32"/>
        </w:rPr>
        <w:t>九、附则</w:t>
      </w:r>
      <w:bookmarkEnd w:id="58"/>
    </w:p>
    <w:p w14:paraId="001E0A3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本预案自印发之日起实施。2020年8月26日县政府办公室的《关于印发肃南县突发生态环境事件等六项应急预案的通知》</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肃政办发〔2020〕55号</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文件中的《肃南县突发生态环境事件应急预案》同时废止。</w:t>
      </w:r>
    </w:p>
    <w:p w14:paraId="3921CF85">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p w14:paraId="75BBF296">
      <w:pPr>
        <w:keepNext w:val="0"/>
        <w:keepLines w:val="0"/>
        <w:pageBreakBefore w:val="0"/>
        <w:widowControl w:val="0"/>
        <w:kinsoku/>
        <w:wordWrap/>
        <w:overflowPunct/>
        <w:topLinePunct w:val="0"/>
        <w:autoSpaceDE/>
        <w:autoSpaceDN/>
        <w:bidi w:val="0"/>
        <w:adjustRightInd/>
        <w:snapToGrid/>
        <w:spacing w:line="560" w:lineRule="exact"/>
        <w:ind w:left="1598" w:leftChars="304" w:hanging="960" w:hangingChars="3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附件：</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肃南县突发生态环境事件应急指挥部成员单位及职责</w:t>
      </w:r>
    </w:p>
    <w:p w14:paraId="7E381905">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肃南县突发生态环境事件应急工作联系表</w:t>
      </w:r>
    </w:p>
    <w:p w14:paraId="32E6DF23">
      <w:pPr>
        <w:keepNext w:val="0"/>
        <w:keepLines w:val="0"/>
        <w:pageBreakBefore w:val="0"/>
        <w:widowControl w:val="0"/>
        <w:kinsoku/>
        <w:wordWrap/>
        <w:overflowPunct/>
        <w:topLinePunct w:val="0"/>
        <w:autoSpaceDE/>
        <w:autoSpaceDN/>
        <w:bidi w:val="0"/>
        <w:adjustRightInd/>
        <w:snapToGrid/>
        <w:spacing w:line="560" w:lineRule="exact"/>
        <w:ind w:left="1598" w:leftChars="304" w:hanging="960" w:hangingChars="300"/>
        <w:textAlignment w:val="auto"/>
        <w:rPr>
          <w:rFonts w:hint="default" w:ascii="Times New Roman" w:hAnsi="Times New Roman" w:eastAsia="仿宋_GB2312" w:cs="Times New Roman"/>
          <w:sz w:val="32"/>
          <w:szCs w:val="32"/>
          <w:lang w:val="en-US" w:eastAsia="zh-CN"/>
        </w:rPr>
      </w:pPr>
    </w:p>
    <w:p w14:paraId="41ED90EB">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bookmarkStart w:id="59" w:name="heading_59"/>
    </w:p>
    <w:p w14:paraId="636A7B8D">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bookmarkEnd w:id="59"/>
    <w:p w14:paraId="46956D22">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p w14:paraId="1A8EC88D">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p w14:paraId="08F1157B">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p w14:paraId="187A6911">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p w14:paraId="50B3B993">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p w14:paraId="35CD915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p>
    <w:p w14:paraId="15F7128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p>
    <w:p w14:paraId="64CB70D8">
      <w:pPr>
        <w:adjustRightInd w:val="0"/>
        <w:snapToGrid w:val="0"/>
        <w:spacing w:line="587" w:lineRule="exact"/>
        <w:rPr>
          <w:rFonts w:hint="default" w:ascii="Times New Roman" w:hAnsi="Times New Roman" w:eastAsia="黑体" w:cs="Times New Roman"/>
          <w:color w:val="auto"/>
          <w:sz w:val="32"/>
          <w:szCs w:val="36"/>
          <w:highlight w:val="none"/>
          <w:lang w:eastAsia="zh-CN"/>
        </w:rPr>
      </w:pPr>
      <w:r>
        <w:rPr>
          <w:rFonts w:hint="default" w:ascii="Times New Roman" w:hAnsi="Times New Roman" w:eastAsia="黑体" w:cs="Times New Roman"/>
          <w:color w:val="auto"/>
          <w:sz w:val="32"/>
          <w:szCs w:val="36"/>
          <w:highlight w:val="none"/>
        </w:rPr>
        <w:t>附件</w:t>
      </w:r>
      <w:r>
        <w:rPr>
          <w:rFonts w:hint="default" w:ascii="Times New Roman" w:hAnsi="Times New Roman" w:eastAsia="黑体" w:cs="Times New Roman"/>
          <w:color w:val="auto"/>
          <w:sz w:val="32"/>
          <w:szCs w:val="36"/>
          <w:highlight w:val="none"/>
          <w:lang w:val="en-US" w:eastAsia="zh-CN"/>
        </w:rPr>
        <w:t>1</w:t>
      </w:r>
      <w:r>
        <w:rPr>
          <w:rFonts w:hint="default" w:ascii="Times New Roman" w:hAnsi="Times New Roman" w:eastAsia="黑体" w:cs="Times New Roman"/>
          <w:color w:val="auto"/>
          <w:sz w:val="32"/>
          <w:szCs w:val="36"/>
          <w:highlight w:val="none"/>
          <w:lang w:eastAsia="zh-CN"/>
        </w:rPr>
        <w:t>：</w:t>
      </w:r>
    </w:p>
    <w:p w14:paraId="46E9EB9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p>
    <w:p w14:paraId="23AB0DA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肃南县突发生态环境事件应急指挥部</w:t>
      </w:r>
    </w:p>
    <w:p w14:paraId="4AF3D9A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成员单位及职责</w:t>
      </w:r>
    </w:p>
    <w:p w14:paraId="317CBA63">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p w14:paraId="42E240C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县委宣传部（网信办）、融媒体中心：负责组织协调突发生态环境事件应对工作的宣传报道，协调广播、电视、报刊等传统媒体和网络、微信、微博等新媒体发布突发生态环境事件预警及响应信息，正确引导社会舆论。</w:t>
      </w:r>
    </w:p>
    <w:p w14:paraId="5E3CE5F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县生态环境分局：参与由国家、省、市、县政府层面组织的突发生态环境事件调查处理工作；组织突发生态环境事件接报和报告、环境应急监测、污染调查，确定环境污染危害范围和程度；参与突发生态环境事件应急处置的组织、指挥和协调工作；组织一般突发生态环境事件应急处置阶段污染损害评估，参与较大、重大或特别重大突发生态环境事件应急处置阶段污染损害评估；修订肃南县突发生态环境事件应急预案；建立和完善环境应急预警机制。</w:t>
      </w:r>
    </w:p>
    <w:p w14:paraId="697A459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县环境监测站：配合指导突发生态环境事件的应急监测工作，提供现场污染物质资料，依据相关要求进行布点监测，并发布相关数据信息作为县应急指挥部判断依据。</w:t>
      </w:r>
    </w:p>
    <w:p w14:paraId="294354F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县应急局：负责组织协调火灾事故引发的较大突发生态环境事件现场应急处置工作，参与对重金属污染和危险化学物品爆炸、泄漏事件等现场火灾灭火与泄漏控制，或可能导致火灾或泄漏的隐患处置；参与由生产安全事故引发的较大突发生态环境事件的应急处置工作，参与涉及危险化学品突发生态环境事件的应急处置和调查。</w:t>
      </w:r>
    </w:p>
    <w:p w14:paraId="2A2D944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县发改局：配合做好突发生态环境事件善后恢复重建工作，负责将突发生态环境事件应急预防与处置体系建设纳入国民经济和社会发展规划。</w:t>
      </w:r>
    </w:p>
    <w:p w14:paraId="7A46277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县公安局：负责组织道路交通安全事故、恐怖事件等引发的较大突发生态环境事件现场应急处置工作；负责落实突发生态环境事件应急响应时的治安、保卫、交通管制和其他措施，维护社会秩序、封锁危险场所；积极配合相关部门组织人员疏散、撤离；负责事故直接责任人的监控和逃逸人员的追捕。</w:t>
      </w:r>
    </w:p>
    <w:p w14:paraId="15BA130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县民政局：负责指导协助地方政府做好应急救援期间的困难群众临时性生活救助工作。</w:t>
      </w:r>
    </w:p>
    <w:p w14:paraId="5DCF3A7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县财政局：负责较大突发生态环境事件应急处置工作中的经费保障及管理工作。</w:t>
      </w:r>
    </w:p>
    <w:p w14:paraId="1CFFE7E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县自然资源局：参与因矿产资源开发等造成的较大突发生态环境事件的应急处置，指导突发生态环境事件中的地质灾害应急处置，开展应急测绘，提供地理信息、地质资料和相关图件。</w:t>
      </w:r>
    </w:p>
    <w:p w14:paraId="75119F9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县住建局：负责指导和协调涉及城市市政</w:t>
      </w:r>
      <w:r>
        <w:rPr>
          <w:rFonts w:hint="default" w:ascii="Times New Roman" w:hAnsi="Times New Roman" w:eastAsia="仿宋_GB2312" w:cs="Times New Roman"/>
          <w:sz w:val="32"/>
          <w:szCs w:val="32"/>
          <w:lang w:eastAsia="zh-CN"/>
        </w:rPr>
        <w:t>公共基础设施</w:t>
      </w:r>
      <w:r>
        <w:rPr>
          <w:rFonts w:hint="default" w:ascii="Times New Roman" w:hAnsi="Times New Roman" w:eastAsia="仿宋_GB2312" w:cs="Times New Roman"/>
          <w:sz w:val="32"/>
          <w:szCs w:val="32"/>
        </w:rPr>
        <w:t>的较大突发生态环境事件相关工作，协调城市供水、燃气热力、市政设施、垃圾与污水处理等单位配合环境应急处置工作。</w:t>
      </w:r>
    </w:p>
    <w:p w14:paraId="0E3A7BA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县水务局：配合指导突发水污染事件的应急管理工作，组织实施跨乡（镇）水量调度工作。</w:t>
      </w:r>
    </w:p>
    <w:p w14:paraId="55D8028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县农业农村局：参与农药、化肥及畜禽养殖等造成的水体污染事件治理工作，负责农业生态环境修复。</w:t>
      </w:r>
    </w:p>
    <w:p w14:paraId="3A72C59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县卫健局：负责组织协调较大突发生态环境事件的应急医学救援工作；负责组织确定突发生态环境事件所导致健康危害的性质、程度及其影响人数和范围；组织、协调危险化学品事故受伤人员的医疗卫生救援工作；根据实际需要，组织专业人员开展心理疏导和心理危机干预工作，消除民众焦虑、恐慌等负面情绪。</w:t>
      </w:r>
    </w:p>
    <w:p w14:paraId="47EA58B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县市场监管局：负责抢险救援过程中食品及相关产品的安全综合监督，禁止受污染的食品、饮用水等的生产、加工、流通和食用，防范因突发生态环境事件造成集体中毒等。</w:t>
      </w:r>
    </w:p>
    <w:p w14:paraId="1144924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县</w:t>
      </w:r>
      <w:r>
        <w:rPr>
          <w:rFonts w:hint="eastAsia" w:ascii="Times New Roman" w:hAnsi="Times New Roman" w:eastAsia="仿宋_GB2312" w:cs="Times New Roman"/>
          <w:sz w:val="32"/>
          <w:szCs w:val="32"/>
          <w:lang w:eastAsia="zh-CN"/>
        </w:rPr>
        <w:t>林草局</w:t>
      </w:r>
      <w:r>
        <w:rPr>
          <w:rFonts w:hint="default" w:ascii="Times New Roman" w:hAnsi="Times New Roman" w:eastAsia="仿宋_GB2312" w:cs="Times New Roman"/>
          <w:sz w:val="32"/>
          <w:szCs w:val="32"/>
        </w:rPr>
        <w:t>：做好涉及森林、草地、湿地、野生陆生动物及林业部门主管的自然保护区内发生的较大突发生态环境事件的调查和处置工作。</w:t>
      </w:r>
    </w:p>
    <w:p w14:paraId="147653A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县气象局：提供气象监测预报服务，必要时在较大突发生态环境事件发生区域进行加密可移动气象监测，提供现场预测预报信息。</w:t>
      </w:r>
    </w:p>
    <w:p w14:paraId="7F51FA7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县地震局：负责对事发地和受影响地区的地震震情和灾情进行通报。</w:t>
      </w:r>
    </w:p>
    <w:p w14:paraId="53B9509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bookmarkStart w:id="60" w:name="heading_64"/>
      <w:bookmarkEnd w:id="60"/>
      <w:bookmarkStart w:id="61" w:name="heading_62"/>
      <w:bookmarkEnd w:id="61"/>
      <w:bookmarkStart w:id="62" w:name="heading_67"/>
      <w:bookmarkEnd w:id="62"/>
      <w:bookmarkStart w:id="63" w:name="heading_65"/>
      <w:bookmarkEnd w:id="63"/>
      <w:bookmarkStart w:id="64" w:name="heading_66"/>
      <w:bookmarkEnd w:id="64"/>
      <w:bookmarkStart w:id="65" w:name="heading_68"/>
      <w:bookmarkEnd w:id="65"/>
      <w:bookmarkStart w:id="66" w:name="heading_63"/>
      <w:bookmarkEnd w:id="66"/>
      <w:r>
        <w:rPr>
          <w:rFonts w:hint="default" w:ascii="Times New Roman" w:hAnsi="Times New Roman" w:eastAsia="仿宋_GB2312" w:cs="Times New Roman"/>
          <w:sz w:val="32"/>
          <w:szCs w:val="32"/>
        </w:rPr>
        <w:t>县突发生态环境事件应急指挥部根据工作需要设立相应的应急组，各应急组组成及职责分工如下：</w:t>
      </w:r>
    </w:p>
    <w:p w14:paraId="55BA865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（一）应急监测组。由县生态环境分局牵头组成。承担一般突发生态环境事件（四级）的应急监测工作；负责突发生态环境事件的危害评价、影响范围划定、后果预测等工作，确定应急响应终止的监测指标。</w:t>
      </w:r>
    </w:p>
    <w:p w14:paraId="1B03405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（二）污染处置组。由县生态环境分局牵头，县应急局、县</w:t>
      </w:r>
      <w:r>
        <w:rPr>
          <w:rFonts w:hint="eastAsia" w:ascii="Times New Roman" w:hAnsi="Times New Roman" w:eastAsia="仿宋_GB2312" w:cs="Times New Roman"/>
          <w:sz w:val="32"/>
          <w:szCs w:val="32"/>
          <w:lang w:eastAsia="zh-CN"/>
        </w:rPr>
        <w:t>住建</w:t>
      </w:r>
      <w:r>
        <w:rPr>
          <w:rFonts w:hint="default" w:ascii="Times New Roman" w:hAnsi="Times New Roman" w:eastAsia="仿宋_GB2312" w:cs="Times New Roman"/>
          <w:sz w:val="32"/>
          <w:szCs w:val="32"/>
        </w:rPr>
        <w:t>局、县自然资源局、县财政局组成。县应急局配合做好由生产安全事故、火灾事故和涉及危险化学品突发生态环境事件引发的突发生态环境事件的应急处置工作。县</w:t>
      </w:r>
      <w:r>
        <w:rPr>
          <w:rFonts w:hint="eastAsia" w:ascii="Times New Roman" w:hAnsi="Times New Roman" w:eastAsia="仿宋_GB2312" w:cs="Times New Roman"/>
          <w:sz w:val="32"/>
          <w:szCs w:val="32"/>
          <w:lang w:eastAsia="zh-CN"/>
        </w:rPr>
        <w:t>住建</w:t>
      </w:r>
      <w:r>
        <w:rPr>
          <w:rFonts w:hint="default" w:ascii="Times New Roman" w:hAnsi="Times New Roman" w:eastAsia="仿宋_GB2312" w:cs="Times New Roman"/>
          <w:sz w:val="32"/>
          <w:szCs w:val="32"/>
        </w:rPr>
        <w:t>局配合做好放射性物质运输中发生事故的应急处置工作。县自然资源局配合做好因矿产资源开发等造成的突发生态环境事件的应急处置工作。开展应急测绘，提供地理信息、地质资料和相关图件。县政府国资办配合做好县属国有企业突发生态环境事件的应急处置工作。</w:t>
      </w:r>
    </w:p>
    <w:p w14:paraId="003DDB8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医疗救援组。由县卫健局牵头组成。根据发生突发生态环境事件的辐射物品种类、危害特性、影响范围、处置方式方法等编制并组织实施应急救援措施；指导应急工作人员和受事故影响群体的辐射防护，发放所需药品；负责对事故造成的放射病、超剂量照射人员的医疗救护。</w:t>
      </w:r>
    </w:p>
    <w:p w14:paraId="50C39AF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安全保卫组。由县公安局牵头组成。负责突发生态环境事件现场的保护、警戒、交通管制等工作；负责对突发生态环境事件原因和相关人员的现场调查取证工作，必要时可采取强制措施；配合相关部门组织受事故影响群体的疏散与撤离工作。</w:t>
      </w:r>
    </w:p>
    <w:p w14:paraId="2DCC1FE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（五）应急保障组。由县财政局、县</w:t>
      </w:r>
      <w:r>
        <w:rPr>
          <w:rFonts w:hint="eastAsia" w:ascii="Times New Roman" w:hAnsi="Times New Roman" w:eastAsia="仿宋_GB2312" w:cs="Times New Roman"/>
          <w:sz w:val="32"/>
          <w:szCs w:val="32"/>
          <w:lang w:eastAsia="zh-CN"/>
        </w:rPr>
        <w:t>发改</w:t>
      </w:r>
      <w:r>
        <w:rPr>
          <w:rFonts w:hint="default" w:ascii="Times New Roman" w:hAnsi="Times New Roman" w:eastAsia="仿宋_GB2312" w:cs="Times New Roman"/>
          <w:sz w:val="32"/>
          <w:szCs w:val="32"/>
        </w:rPr>
        <w:t>局组成。县财政局负责突发生态环境事件应急演练、业务培训、应急物资储备、调查、监测、评估处置等经费保障工作。县</w:t>
      </w:r>
      <w:r>
        <w:rPr>
          <w:rFonts w:hint="eastAsia" w:ascii="Times New Roman" w:hAnsi="Times New Roman" w:eastAsia="仿宋_GB2312" w:cs="Times New Roman"/>
          <w:sz w:val="32"/>
          <w:szCs w:val="32"/>
          <w:lang w:eastAsia="zh-CN"/>
        </w:rPr>
        <w:t>发改</w:t>
      </w:r>
      <w:r>
        <w:rPr>
          <w:rFonts w:hint="default" w:ascii="Times New Roman" w:hAnsi="Times New Roman" w:eastAsia="仿宋_GB2312" w:cs="Times New Roman"/>
          <w:sz w:val="32"/>
          <w:szCs w:val="32"/>
        </w:rPr>
        <w:t>局负责组织协调突发生态环境事件</w:t>
      </w:r>
      <w:r>
        <w:rPr>
          <w:rFonts w:hint="default" w:ascii="Times New Roman" w:hAnsi="Times New Roman" w:eastAsia="仿宋_GB2312" w:cs="Times New Roman"/>
          <w:sz w:val="32"/>
          <w:szCs w:val="32"/>
          <w:lang w:eastAsia="zh-CN"/>
        </w:rPr>
        <w:t>应急通信保障工作</w:t>
      </w:r>
      <w:r>
        <w:rPr>
          <w:rFonts w:hint="default" w:ascii="Times New Roman" w:hAnsi="Times New Roman" w:eastAsia="仿宋_GB2312" w:cs="Times New Roman"/>
          <w:sz w:val="32"/>
          <w:szCs w:val="32"/>
        </w:rPr>
        <w:t>。</w:t>
      </w:r>
    </w:p>
    <w:p w14:paraId="3F9CEC3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六）专家咨询组。由县生态环境分局牵头组成。为县突发生态环境事件应急指挥部提供技术咨询；为全县突发生态环境事件应急准备、应急响应、现场处置、抢险救援、现场防护及善后处理等提供技术支持；审查各应急组应急方案并提出意见。</w:t>
      </w:r>
    </w:p>
    <w:p w14:paraId="1258B80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（七）舆情信息组。由县委宣传部（</w:t>
      </w:r>
      <w:r>
        <w:rPr>
          <w:rFonts w:hint="default" w:ascii="Times New Roman" w:hAnsi="Times New Roman" w:eastAsia="仿宋_GB2312" w:cs="Times New Roman"/>
          <w:sz w:val="32"/>
          <w:szCs w:val="32"/>
          <w:lang w:eastAsia="zh-CN"/>
        </w:rPr>
        <w:t>县委网信办</w:t>
      </w:r>
      <w:r>
        <w:rPr>
          <w:rFonts w:hint="default" w:ascii="Times New Roman" w:hAnsi="Times New Roman" w:eastAsia="仿宋_GB2312" w:cs="Times New Roman"/>
          <w:sz w:val="32"/>
          <w:szCs w:val="32"/>
        </w:rPr>
        <w:t>）牵头组成。负责组织协调突发生态环境事件应急期间的公众宣传，负责有关突发生态环境事件的新闻稿件发布；配合地方政府发布信息，做好宣传报道，正确引导舆论。</w:t>
      </w:r>
    </w:p>
    <w:p w14:paraId="1427C66F">
      <w:pPr>
        <w:adjustRightInd w:val="0"/>
        <w:snapToGrid w:val="0"/>
        <w:spacing w:line="587" w:lineRule="exact"/>
        <w:rPr>
          <w:rFonts w:hint="default" w:ascii="Times New Roman" w:hAnsi="Times New Roman" w:eastAsia="黑体" w:cs="Times New Roman"/>
          <w:color w:val="auto"/>
          <w:sz w:val="32"/>
          <w:szCs w:val="36"/>
          <w:highlight w:val="none"/>
        </w:rPr>
      </w:pPr>
    </w:p>
    <w:p w14:paraId="37BFED54">
      <w:pPr>
        <w:adjustRightInd w:val="0"/>
        <w:snapToGrid w:val="0"/>
        <w:spacing w:line="587" w:lineRule="exact"/>
        <w:rPr>
          <w:rFonts w:hint="default" w:ascii="Times New Roman" w:hAnsi="Times New Roman" w:eastAsia="黑体" w:cs="Times New Roman"/>
          <w:color w:val="auto"/>
          <w:sz w:val="32"/>
          <w:szCs w:val="36"/>
          <w:highlight w:val="none"/>
        </w:rPr>
      </w:pPr>
    </w:p>
    <w:p w14:paraId="530ADFAC">
      <w:pPr>
        <w:adjustRightInd w:val="0"/>
        <w:snapToGrid w:val="0"/>
        <w:spacing w:line="587" w:lineRule="exact"/>
        <w:rPr>
          <w:rFonts w:hint="default" w:ascii="Times New Roman" w:hAnsi="Times New Roman" w:eastAsia="黑体" w:cs="Times New Roman"/>
          <w:color w:val="auto"/>
          <w:sz w:val="32"/>
          <w:szCs w:val="36"/>
          <w:highlight w:val="none"/>
        </w:rPr>
      </w:pPr>
    </w:p>
    <w:p w14:paraId="349061CF">
      <w:pPr>
        <w:adjustRightInd w:val="0"/>
        <w:snapToGrid w:val="0"/>
        <w:spacing w:line="587" w:lineRule="exact"/>
        <w:rPr>
          <w:rFonts w:hint="default" w:ascii="Times New Roman" w:hAnsi="Times New Roman" w:eastAsia="黑体" w:cs="Times New Roman"/>
          <w:color w:val="auto"/>
          <w:sz w:val="32"/>
          <w:szCs w:val="36"/>
          <w:highlight w:val="none"/>
        </w:rPr>
      </w:pPr>
    </w:p>
    <w:p w14:paraId="1BDBF80A">
      <w:pPr>
        <w:adjustRightInd w:val="0"/>
        <w:snapToGrid w:val="0"/>
        <w:spacing w:line="587" w:lineRule="exact"/>
        <w:rPr>
          <w:rFonts w:hint="default" w:ascii="Times New Roman" w:hAnsi="Times New Roman" w:eastAsia="黑体" w:cs="Times New Roman"/>
          <w:color w:val="auto"/>
          <w:sz w:val="32"/>
          <w:szCs w:val="36"/>
          <w:highlight w:val="none"/>
        </w:rPr>
      </w:pPr>
    </w:p>
    <w:p w14:paraId="41FA3885">
      <w:pPr>
        <w:adjustRightInd w:val="0"/>
        <w:snapToGrid w:val="0"/>
        <w:spacing w:line="587" w:lineRule="exact"/>
        <w:rPr>
          <w:rFonts w:hint="default" w:ascii="Times New Roman" w:hAnsi="Times New Roman" w:eastAsia="黑体" w:cs="Times New Roman"/>
          <w:color w:val="auto"/>
          <w:sz w:val="32"/>
          <w:szCs w:val="36"/>
          <w:highlight w:val="none"/>
        </w:rPr>
      </w:pPr>
    </w:p>
    <w:p w14:paraId="5B38E620">
      <w:pPr>
        <w:adjustRightInd w:val="0"/>
        <w:snapToGrid w:val="0"/>
        <w:spacing w:line="587" w:lineRule="exact"/>
        <w:rPr>
          <w:rFonts w:hint="default" w:ascii="Times New Roman" w:hAnsi="Times New Roman" w:eastAsia="黑体" w:cs="Times New Roman"/>
          <w:color w:val="auto"/>
          <w:sz w:val="32"/>
          <w:szCs w:val="36"/>
          <w:highlight w:val="none"/>
        </w:rPr>
      </w:pPr>
    </w:p>
    <w:p w14:paraId="427364BA">
      <w:pPr>
        <w:adjustRightInd w:val="0"/>
        <w:snapToGrid w:val="0"/>
        <w:spacing w:line="587" w:lineRule="exact"/>
        <w:rPr>
          <w:rFonts w:hint="default" w:ascii="Times New Roman" w:hAnsi="Times New Roman" w:eastAsia="黑体" w:cs="Times New Roman"/>
          <w:color w:val="auto"/>
          <w:sz w:val="32"/>
          <w:szCs w:val="36"/>
          <w:highlight w:val="none"/>
        </w:rPr>
      </w:pPr>
    </w:p>
    <w:p w14:paraId="619A2B15">
      <w:pPr>
        <w:adjustRightInd w:val="0"/>
        <w:snapToGrid w:val="0"/>
        <w:spacing w:line="587" w:lineRule="exact"/>
        <w:rPr>
          <w:rFonts w:hint="default" w:ascii="Times New Roman" w:hAnsi="Times New Roman" w:eastAsia="黑体" w:cs="Times New Roman"/>
          <w:color w:val="auto"/>
          <w:sz w:val="32"/>
          <w:szCs w:val="36"/>
          <w:highlight w:val="none"/>
        </w:rPr>
      </w:pPr>
    </w:p>
    <w:p w14:paraId="038EA14E">
      <w:pPr>
        <w:adjustRightInd w:val="0"/>
        <w:snapToGrid w:val="0"/>
        <w:spacing w:line="587" w:lineRule="exact"/>
        <w:rPr>
          <w:rFonts w:hint="default" w:ascii="Times New Roman" w:hAnsi="Times New Roman" w:eastAsia="黑体" w:cs="Times New Roman"/>
          <w:color w:val="auto"/>
          <w:sz w:val="32"/>
          <w:szCs w:val="36"/>
          <w:highlight w:val="none"/>
        </w:rPr>
      </w:pPr>
    </w:p>
    <w:p w14:paraId="6B993F01">
      <w:pPr>
        <w:adjustRightInd w:val="0"/>
        <w:snapToGrid w:val="0"/>
        <w:spacing w:line="587" w:lineRule="exact"/>
        <w:rPr>
          <w:rFonts w:hint="default" w:ascii="Times New Roman" w:hAnsi="Times New Roman" w:eastAsia="黑体" w:cs="Times New Roman"/>
          <w:color w:val="auto"/>
          <w:sz w:val="32"/>
          <w:szCs w:val="36"/>
          <w:highlight w:val="none"/>
        </w:rPr>
      </w:pPr>
    </w:p>
    <w:p w14:paraId="43BB3341">
      <w:pPr>
        <w:adjustRightInd w:val="0"/>
        <w:snapToGrid w:val="0"/>
        <w:spacing w:line="587" w:lineRule="exact"/>
        <w:rPr>
          <w:rFonts w:hint="default" w:ascii="Times New Roman" w:hAnsi="Times New Roman" w:eastAsia="黑体" w:cs="Times New Roman"/>
          <w:color w:val="auto"/>
          <w:sz w:val="32"/>
          <w:szCs w:val="36"/>
          <w:highlight w:val="none"/>
        </w:rPr>
      </w:pPr>
    </w:p>
    <w:p w14:paraId="0BA7A45A">
      <w:pPr>
        <w:adjustRightInd w:val="0"/>
        <w:snapToGrid w:val="0"/>
        <w:spacing w:line="587" w:lineRule="exact"/>
        <w:rPr>
          <w:rFonts w:hint="default" w:ascii="Times New Roman" w:hAnsi="Times New Roman" w:eastAsia="黑体" w:cs="Times New Roman"/>
          <w:color w:val="auto"/>
          <w:sz w:val="32"/>
          <w:szCs w:val="36"/>
          <w:highlight w:val="none"/>
        </w:rPr>
      </w:pPr>
    </w:p>
    <w:p w14:paraId="327AE342">
      <w:pPr>
        <w:adjustRightInd w:val="0"/>
        <w:snapToGrid w:val="0"/>
        <w:spacing w:line="587" w:lineRule="exact"/>
        <w:rPr>
          <w:rFonts w:hint="default" w:ascii="Times New Roman" w:hAnsi="Times New Roman" w:eastAsia="黑体" w:cs="Times New Roman"/>
          <w:color w:val="auto"/>
          <w:sz w:val="32"/>
          <w:szCs w:val="36"/>
          <w:highlight w:val="none"/>
        </w:rPr>
      </w:pPr>
    </w:p>
    <w:p w14:paraId="3CAE65B1">
      <w:pPr>
        <w:adjustRightInd w:val="0"/>
        <w:snapToGrid w:val="0"/>
        <w:spacing w:line="587" w:lineRule="exact"/>
        <w:rPr>
          <w:rFonts w:hint="default" w:ascii="Times New Roman" w:hAnsi="Times New Roman" w:eastAsia="黑体" w:cs="Times New Roman"/>
          <w:color w:val="auto"/>
          <w:sz w:val="32"/>
          <w:szCs w:val="36"/>
          <w:highlight w:val="none"/>
        </w:rPr>
      </w:pPr>
    </w:p>
    <w:p w14:paraId="4178C15B">
      <w:pPr>
        <w:adjustRightInd w:val="0"/>
        <w:snapToGrid w:val="0"/>
        <w:spacing w:line="587" w:lineRule="exact"/>
        <w:rPr>
          <w:rFonts w:hint="default" w:ascii="Times New Roman" w:hAnsi="Times New Roman" w:eastAsia="黑体" w:cs="Times New Roman"/>
          <w:color w:val="auto"/>
          <w:sz w:val="32"/>
          <w:szCs w:val="36"/>
          <w:highlight w:val="none"/>
        </w:rPr>
      </w:pPr>
    </w:p>
    <w:p w14:paraId="31F06277">
      <w:pPr>
        <w:adjustRightInd w:val="0"/>
        <w:snapToGrid w:val="0"/>
        <w:spacing w:line="587" w:lineRule="exact"/>
        <w:rPr>
          <w:rFonts w:hint="default" w:ascii="Times New Roman" w:hAnsi="Times New Roman" w:eastAsia="黑体" w:cs="Times New Roman"/>
          <w:color w:val="auto"/>
          <w:sz w:val="32"/>
          <w:szCs w:val="36"/>
          <w:highlight w:val="none"/>
        </w:rPr>
      </w:pPr>
    </w:p>
    <w:p w14:paraId="2724786B">
      <w:pPr>
        <w:adjustRightInd w:val="0"/>
        <w:snapToGrid w:val="0"/>
        <w:spacing w:line="587" w:lineRule="exact"/>
        <w:rPr>
          <w:rFonts w:hint="default" w:ascii="Times New Roman" w:hAnsi="Times New Roman" w:eastAsia="黑体" w:cs="Times New Roman"/>
          <w:color w:val="auto"/>
          <w:sz w:val="32"/>
          <w:szCs w:val="36"/>
          <w:highlight w:val="none"/>
        </w:rPr>
      </w:pPr>
    </w:p>
    <w:p w14:paraId="72E8BC22">
      <w:pPr>
        <w:adjustRightInd w:val="0"/>
        <w:snapToGrid w:val="0"/>
        <w:spacing w:line="587" w:lineRule="exact"/>
        <w:rPr>
          <w:rFonts w:hint="default" w:ascii="Times New Roman" w:hAnsi="Times New Roman" w:eastAsia="黑体" w:cs="Times New Roman"/>
          <w:color w:val="auto"/>
          <w:sz w:val="32"/>
          <w:szCs w:val="36"/>
          <w:highlight w:val="none"/>
        </w:rPr>
      </w:pPr>
    </w:p>
    <w:p w14:paraId="7D2F0487">
      <w:pPr>
        <w:adjustRightInd w:val="0"/>
        <w:snapToGrid w:val="0"/>
        <w:spacing w:line="587" w:lineRule="exact"/>
        <w:rPr>
          <w:rFonts w:hint="default" w:ascii="Times New Roman" w:hAnsi="Times New Roman" w:eastAsia="黑体" w:cs="Times New Roman"/>
          <w:color w:val="auto"/>
          <w:sz w:val="32"/>
          <w:szCs w:val="36"/>
          <w:highlight w:val="none"/>
        </w:rPr>
      </w:pPr>
    </w:p>
    <w:p w14:paraId="1EE16867">
      <w:pPr>
        <w:adjustRightInd w:val="0"/>
        <w:snapToGrid w:val="0"/>
        <w:spacing w:line="587" w:lineRule="exact"/>
        <w:rPr>
          <w:rFonts w:hint="default" w:ascii="Times New Roman" w:hAnsi="Times New Roman" w:eastAsia="黑体" w:cs="Times New Roman"/>
          <w:color w:val="auto"/>
          <w:sz w:val="32"/>
          <w:szCs w:val="36"/>
          <w:highlight w:val="none"/>
        </w:rPr>
      </w:pPr>
    </w:p>
    <w:p w14:paraId="657FF9A6">
      <w:pPr>
        <w:adjustRightInd w:val="0"/>
        <w:snapToGrid w:val="0"/>
        <w:spacing w:line="587" w:lineRule="exact"/>
        <w:rPr>
          <w:rFonts w:hint="default" w:ascii="Times New Roman" w:hAnsi="Times New Roman" w:eastAsia="黑体" w:cs="Times New Roman"/>
          <w:color w:val="auto"/>
          <w:sz w:val="32"/>
          <w:szCs w:val="36"/>
          <w:highlight w:val="none"/>
          <w:lang w:eastAsia="zh-CN"/>
        </w:rPr>
      </w:pPr>
      <w:r>
        <w:rPr>
          <w:rFonts w:hint="default" w:ascii="Times New Roman" w:hAnsi="Times New Roman" w:eastAsia="黑体" w:cs="Times New Roman"/>
          <w:color w:val="auto"/>
          <w:sz w:val="32"/>
          <w:szCs w:val="36"/>
          <w:highlight w:val="none"/>
        </w:rPr>
        <w:t>附件</w:t>
      </w:r>
      <w:r>
        <w:rPr>
          <w:rFonts w:hint="default" w:ascii="Times New Roman" w:hAnsi="Times New Roman" w:eastAsia="黑体" w:cs="Times New Roman"/>
          <w:color w:val="auto"/>
          <w:sz w:val="32"/>
          <w:szCs w:val="36"/>
          <w:highlight w:val="none"/>
          <w:lang w:val="en-US" w:eastAsia="zh-CN"/>
        </w:rPr>
        <w:t>2</w:t>
      </w:r>
      <w:r>
        <w:rPr>
          <w:rFonts w:hint="default" w:ascii="Times New Roman" w:hAnsi="Times New Roman" w:eastAsia="黑体" w:cs="Times New Roman"/>
          <w:color w:val="auto"/>
          <w:sz w:val="32"/>
          <w:szCs w:val="36"/>
          <w:highlight w:val="none"/>
          <w:lang w:eastAsia="zh-CN"/>
        </w:rPr>
        <w:t>：</w:t>
      </w:r>
    </w:p>
    <w:p w14:paraId="08BA0703">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小标宋简体" w:cs="Times New Roman"/>
          <w:sz w:val="44"/>
          <w:szCs w:val="44"/>
        </w:rPr>
      </w:pPr>
    </w:p>
    <w:p w14:paraId="2C34FE1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肃南县突发生态环境事件应急工作联系表</w:t>
      </w:r>
    </w:p>
    <w:tbl>
      <w:tblPr>
        <w:tblStyle w:val="3"/>
        <w:tblW w:w="8928" w:type="dxa"/>
        <w:tblInd w:w="0" w:type="dxa"/>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fixed"/>
        <w:tblCellMar>
          <w:top w:w="0" w:type="dxa"/>
          <w:left w:w="10" w:type="dxa"/>
          <w:bottom w:w="0" w:type="dxa"/>
          <w:right w:w="10" w:type="dxa"/>
        </w:tblCellMar>
      </w:tblPr>
      <w:tblGrid>
        <w:gridCol w:w="3573"/>
        <w:gridCol w:w="2580"/>
        <w:gridCol w:w="2775"/>
      </w:tblGrid>
      <w:tr w14:paraId="1908A67C">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90" w:hRule="atLeast"/>
        </w:trPr>
        <w:tc>
          <w:tcPr>
            <w:tcW w:w="3573"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2C2EBF7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单 位</w:t>
            </w:r>
          </w:p>
        </w:tc>
        <w:tc>
          <w:tcPr>
            <w:tcW w:w="258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19B8A71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值班电话</w:t>
            </w:r>
          </w:p>
        </w:tc>
        <w:tc>
          <w:tcPr>
            <w:tcW w:w="277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1055832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传 真</w:t>
            </w:r>
          </w:p>
        </w:tc>
      </w:tr>
      <w:tr w14:paraId="33F4B1D5">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90" w:hRule="atLeast"/>
        </w:trPr>
        <w:tc>
          <w:tcPr>
            <w:tcW w:w="3573"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42D5E6B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省生态环境厅</w:t>
            </w:r>
          </w:p>
        </w:tc>
        <w:tc>
          <w:tcPr>
            <w:tcW w:w="258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01354A1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0931-8810309</w:t>
            </w:r>
          </w:p>
        </w:tc>
        <w:tc>
          <w:tcPr>
            <w:tcW w:w="277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5356AA2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0931-8735587</w:t>
            </w:r>
          </w:p>
        </w:tc>
      </w:tr>
      <w:tr w14:paraId="51C81503">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90" w:hRule="atLeast"/>
        </w:trPr>
        <w:tc>
          <w:tcPr>
            <w:tcW w:w="3573"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0DB246A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市委市政府</w:t>
            </w:r>
            <w:r>
              <w:rPr>
                <w:rFonts w:hint="default" w:ascii="Times New Roman" w:hAnsi="Times New Roman" w:eastAsia="仿宋_GB2312" w:cs="Times New Roman"/>
                <w:sz w:val="32"/>
                <w:szCs w:val="32"/>
              </w:rPr>
              <w:t>总值班室</w:t>
            </w:r>
          </w:p>
        </w:tc>
        <w:tc>
          <w:tcPr>
            <w:tcW w:w="258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286EA61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0936-8224661</w:t>
            </w:r>
          </w:p>
        </w:tc>
        <w:tc>
          <w:tcPr>
            <w:tcW w:w="277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2E3FEC7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0936-8224661</w:t>
            </w:r>
          </w:p>
        </w:tc>
      </w:tr>
      <w:tr w14:paraId="4F582D6C">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90" w:hRule="atLeast"/>
        </w:trPr>
        <w:tc>
          <w:tcPr>
            <w:tcW w:w="3573"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7CA30E4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市生态环境局</w:t>
            </w:r>
          </w:p>
        </w:tc>
        <w:tc>
          <w:tcPr>
            <w:tcW w:w="258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66BD0BE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0936-8278242</w:t>
            </w:r>
          </w:p>
        </w:tc>
        <w:tc>
          <w:tcPr>
            <w:tcW w:w="277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3F6CE49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rPr>
              <w:t>0936-</w:t>
            </w:r>
            <w:r>
              <w:rPr>
                <w:rFonts w:hint="default" w:ascii="Times New Roman" w:hAnsi="Times New Roman" w:eastAsia="仿宋_GB2312" w:cs="Times New Roman"/>
                <w:sz w:val="28"/>
                <w:szCs w:val="28"/>
                <w:lang w:val="en-US" w:eastAsia="zh-CN"/>
              </w:rPr>
              <w:t>8278232</w:t>
            </w:r>
          </w:p>
        </w:tc>
      </w:tr>
      <w:tr w14:paraId="528726BE">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90" w:hRule="atLeast"/>
        </w:trPr>
        <w:tc>
          <w:tcPr>
            <w:tcW w:w="3573"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0A0F9C9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县委办</w:t>
            </w:r>
          </w:p>
        </w:tc>
        <w:tc>
          <w:tcPr>
            <w:tcW w:w="258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FA96C3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8"/>
                <w:szCs w:val="28"/>
                <w:lang w:val="en-US"/>
              </w:rPr>
            </w:pPr>
            <w:r>
              <w:rPr>
                <w:rFonts w:hint="default" w:ascii="Times New Roman" w:hAnsi="Times New Roman" w:eastAsia="仿宋_GB2312" w:cs="Times New Roman"/>
                <w:sz w:val="28"/>
                <w:szCs w:val="28"/>
                <w:lang w:val="en-US" w:eastAsia="zh-CN"/>
              </w:rPr>
              <w:t>0936-6121</w:t>
            </w:r>
            <w:r>
              <w:rPr>
                <w:rFonts w:hint="eastAsia" w:ascii="Times New Roman" w:hAnsi="Times New Roman" w:eastAsia="仿宋_GB2312" w:cs="Times New Roman"/>
                <w:sz w:val="28"/>
                <w:szCs w:val="28"/>
                <w:lang w:val="en-US" w:eastAsia="zh-CN"/>
              </w:rPr>
              <w:t>121</w:t>
            </w:r>
          </w:p>
        </w:tc>
        <w:tc>
          <w:tcPr>
            <w:tcW w:w="277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7D6D221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8"/>
                <w:szCs w:val="28"/>
                <w:lang w:val="en-US"/>
              </w:rPr>
            </w:pPr>
            <w:r>
              <w:rPr>
                <w:rFonts w:hint="default" w:ascii="Times New Roman" w:hAnsi="Times New Roman" w:eastAsia="仿宋_GB2312" w:cs="Times New Roman"/>
                <w:sz w:val="28"/>
                <w:szCs w:val="28"/>
                <w:lang w:val="en-US" w:eastAsia="zh-CN"/>
              </w:rPr>
              <w:t>0936-6121</w:t>
            </w:r>
            <w:r>
              <w:rPr>
                <w:rFonts w:hint="eastAsia" w:ascii="Times New Roman" w:hAnsi="Times New Roman" w:eastAsia="仿宋_GB2312" w:cs="Times New Roman"/>
                <w:sz w:val="28"/>
                <w:szCs w:val="28"/>
                <w:lang w:val="en-US" w:eastAsia="zh-CN"/>
              </w:rPr>
              <w:t>121</w:t>
            </w:r>
          </w:p>
        </w:tc>
      </w:tr>
      <w:tr w14:paraId="3443BF51">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90" w:hRule="atLeast"/>
        </w:trPr>
        <w:tc>
          <w:tcPr>
            <w:tcW w:w="3573"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1B05609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县政府办</w:t>
            </w:r>
          </w:p>
        </w:tc>
        <w:tc>
          <w:tcPr>
            <w:tcW w:w="258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60857B7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rPr>
              <w:t>0936-6121</w:t>
            </w:r>
            <w:r>
              <w:rPr>
                <w:rFonts w:hint="eastAsia" w:ascii="Times New Roman" w:hAnsi="Times New Roman" w:eastAsia="仿宋_GB2312" w:cs="Times New Roman"/>
                <w:sz w:val="28"/>
                <w:szCs w:val="28"/>
                <w:lang w:val="en-US" w:eastAsia="zh-CN"/>
              </w:rPr>
              <w:t>221</w:t>
            </w:r>
          </w:p>
        </w:tc>
        <w:tc>
          <w:tcPr>
            <w:tcW w:w="277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64EC7C3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w:t>
            </w:r>
          </w:p>
        </w:tc>
      </w:tr>
      <w:tr w14:paraId="2900F31A">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90" w:hRule="atLeast"/>
        </w:trPr>
        <w:tc>
          <w:tcPr>
            <w:tcW w:w="3573"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69E0396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县生态环境分局</w:t>
            </w:r>
          </w:p>
        </w:tc>
        <w:tc>
          <w:tcPr>
            <w:tcW w:w="258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53D8A6A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rPr>
              <w:t>0936-612</w:t>
            </w:r>
            <w:r>
              <w:rPr>
                <w:rFonts w:hint="eastAsia" w:ascii="Times New Roman" w:hAnsi="Times New Roman" w:eastAsia="仿宋_GB2312" w:cs="Times New Roman"/>
                <w:sz w:val="28"/>
                <w:szCs w:val="28"/>
                <w:lang w:val="en-US" w:eastAsia="zh-CN"/>
              </w:rPr>
              <w:t>5112</w:t>
            </w:r>
          </w:p>
        </w:tc>
        <w:tc>
          <w:tcPr>
            <w:tcW w:w="277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46D3B26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w:t>
            </w:r>
          </w:p>
        </w:tc>
      </w:tr>
      <w:tr w14:paraId="5A59E88A">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90" w:hRule="atLeast"/>
        </w:trPr>
        <w:tc>
          <w:tcPr>
            <w:tcW w:w="3573"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6E31208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县委宣传部（</w:t>
            </w:r>
            <w:r>
              <w:rPr>
                <w:rFonts w:hint="default" w:ascii="Times New Roman" w:hAnsi="Times New Roman" w:eastAsia="仿宋_GB2312" w:cs="Times New Roman"/>
                <w:sz w:val="32"/>
                <w:szCs w:val="32"/>
                <w:lang w:eastAsia="zh-CN"/>
              </w:rPr>
              <w:t>网信办</w:t>
            </w:r>
            <w:r>
              <w:rPr>
                <w:rFonts w:hint="default" w:ascii="Times New Roman" w:hAnsi="Times New Roman" w:eastAsia="仿宋_GB2312" w:cs="Times New Roman"/>
                <w:sz w:val="32"/>
                <w:szCs w:val="32"/>
              </w:rPr>
              <w:t>）</w:t>
            </w:r>
          </w:p>
        </w:tc>
        <w:tc>
          <w:tcPr>
            <w:tcW w:w="258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2508C3C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0936-6121318</w:t>
            </w:r>
          </w:p>
        </w:tc>
        <w:tc>
          <w:tcPr>
            <w:tcW w:w="277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053F08C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w:t>
            </w:r>
          </w:p>
        </w:tc>
      </w:tr>
      <w:tr w14:paraId="38211767">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90" w:hRule="atLeast"/>
        </w:trPr>
        <w:tc>
          <w:tcPr>
            <w:tcW w:w="3573"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03CFA65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县</w:t>
            </w:r>
            <w:r>
              <w:rPr>
                <w:rFonts w:hint="eastAsia" w:ascii="Times New Roman" w:hAnsi="Times New Roman" w:eastAsia="仿宋_GB2312" w:cs="Times New Roman"/>
                <w:sz w:val="32"/>
                <w:szCs w:val="32"/>
                <w:lang w:eastAsia="zh-CN"/>
              </w:rPr>
              <w:t>发改</w:t>
            </w:r>
            <w:r>
              <w:rPr>
                <w:rFonts w:hint="default" w:ascii="Times New Roman" w:hAnsi="Times New Roman" w:eastAsia="仿宋_GB2312" w:cs="Times New Roman"/>
                <w:sz w:val="32"/>
                <w:szCs w:val="32"/>
              </w:rPr>
              <w:t>局</w:t>
            </w:r>
          </w:p>
        </w:tc>
        <w:tc>
          <w:tcPr>
            <w:tcW w:w="258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490D8EE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rPr>
              <w:t>0936-612</w:t>
            </w:r>
            <w:r>
              <w:rPr>
                <w:rFonts w:hint="eastAsia" w:ascii="Times New Roman" w:hAnsi="Times New Roman" w:eastAsia="仿宋_GB2312" w:cs="Times New Roman"/>
                <w:sz w:val="28"/>
                <w:szCs w:val="28"/>
                <w:lang w:val="en-US" w:eastAsia="zh-CN"/>
              </w:rPr>
              <w:t>1413</w:t>
            </w:r>
          </w:p>
        </w:tc>
        <w:tc>
          <w:tcPr>
            <w:tcW w:w="277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2B174FA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w:t>
            </w:r>
          </w:p>
        </w:tc>
      </w:tr>
      <w:tr w14:paraId="75F7B027">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90" w:hRule="atLeast"/>
        </w:trPr>
        <w:tc>
          <w:tcPr>
            <w:tcW w:w="3573"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4F61858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县应急局</w:t>
            </w:r>
          </w:p>
        </w:tc>
        <w:tc>
          <w:tcPr>
            <w:tcW w:w="258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66DB326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0936-6121216</w:t>
            </w:r>
          </w:p>
        </w:tc>
        <w:tc>
          <w:tcPr>
            <w:tcW w:w="277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0DA487A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w:t>
            </w:r>
          </w:p>
        </w:tc>
      </w:tr>
      <w:tr w14:paraId="7C6FF122">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90" w:hRule="atLeast"/>
        </w:trPr>
        <w:tc>
          <w:tcPr>
            <w:tcW w:w="3573"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198857C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县公安局</w:t>
            </w:r>
          </w:p>
        </w:tc>
        <w:tc>
          <w:tcPr>
            <w:tcW w:w="258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4964CBE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0936-6121421</w:t>
            </w:r>
          </w:p>
        </w:tc>
        <w:tc>
          <w:tcPr>
            <w:tcW w:w="277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724FC15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w:t>
            </w:r>
          </w:p>
        </w:tc>
      </w:tr>
      <w:tr w14:paraId="0EC6F8EC">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90" w:hRule="atLeast"/>
        </w:trPr>
        <w:tc>
          <w:tcPr>
            <w:tcW w:w="3573"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65279D9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县财政局</w:t>
            </w:r>
          </w:p>
        </w:tc>
        <w:tc>
          <w:tcPr>
            <w:tcW w:w="258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109BFDF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0936-6121077</w:t>
            </w:r>
          </w:p>
        </w:tc>
        <w:tc>
          <w:tcPr>
            <w:tcW w:w="277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133C824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w:t>
            </w:r>
          </w:p>
        </w:tc>
      </w:tr>
      <w:tr w14:paraId="68637F75">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90" w:hRule="atLeast"/>
        </w:trPr>
        <w:tc>
          <w:tcPr>
            <w:tcW w:w="3573"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6E3894D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县</w:t>
            </w:r>
            <w:r>
              <w:rPr>
                <w:rFonts w:hint="eastAsia" w:ascii="Times New Roman" w:hAnsi="Times New Roman" w:eastAsia="仿宋_GB2312" w:cs="Times New Roman"/>
                <w:sz w:val="32"/>
                <w:szCs w:val="32"/>
                <w:lang w:eastAsia="zh-CN"/>
              </w:rPr>
              <w:t>住建</w:t>
            </w:r>
            <w:r>
              <w:rPr>
                <w:rFonts w:hint="default" w:ascii="Times New Roman" w:hAnsi="Times New Roman" w:eastAsia="仿宋_GB2312" w:cs="Times New Roman"/>
                <w:sz w:val="32"/>
                <w:szCs w:val="32"/>
              </w:rPr>
              <w:t>局</w:t>
            </w:r>
          </w:p>
        </w:tc>
        <w:tc>
          <w:tcPr>
            <w:tcW w:w="258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2B5DA6E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rPr>
              <w:t>0936-6121</w:t>
            </w:r>
            <w:r>
              <w:rPr>
                <w:rFonts w:hint="eastAsia" w:ascii="Times New Roman" w:hAnsi="Times New Roman" w:eastAsia="仿宋_GB2312" w:cs="Times New Roman"/>
                <w:sz w:val="28"/>
                <w:szCs w:val="28"/>
                <w:lang w:val="en-US" w:eastAsia="zh-CN"/>
              </w:rPr>
              <w:t>541</w:t>
            </w:r>
          </w:p>
        </w:tc>
        <w:tc>
          <w:tcPr>
            <w:tcW w:w="277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0F1A6A8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w:t>
            </w:r>
          </w:p>
        </w:tc>
      </w:tr>
      <w:tr w14:paraId="36DFB793">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90" w:hRule="atLeast"/>
        </w:trPr>
        <w:tc>
          <w:tcPr>
            <w:tcW w:w="3573"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12C62CD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县卫健局</w:t>
            </w:r>
          </w:p>
        </w:tc>
        <w:tc>
          <w:tcPr>
            <w:tcW w:w="258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29AEEEF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0936-6122505</w:t>
            </w:r>
          </w:p>
        </w:tc>
        <w:tc>
          <w:tcPr>
            <w:tcW w:w="277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38D3A7B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w:t>
            </w:r>
          </w:p>
        </w:tc>
      </w:tr>
      <w:tr w14:paraId="0EE74FE4">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90" w:hRule="atLeast"/>
        </w:trPr>
        <w:tc>
          <w:tcPr>
            <w:tcW w:w="3573"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667C96F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县自然资源局</w:t>
            </w:r>
          </w:p>
        </w:tc>
        <w:tc>
          <w:tcPr>
            <w:tcW w:w="258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775BFA6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0936-6121024</w:t>
            </w:r>
          </w:p>
        </w:tc>
        <w:tc>
          <w:tcPr>
            <w:tcW w:w="277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6A09492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w:t>
            </w:r>
          </w:p>
        </w:tc>
      </w:tr>
      <w:tr w14:paraId="7AA7C150">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90" w:hRule="atLeast"/>
        </w:trPr>
        <w:tc>
          <w:tcPr>
            <w:tcW w:w="3573"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1B4FBFF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县水务局</w:t>
            </w:r>
          </w:p>
        </w:tc>
        <w:tc>
          <w:tcPr>
            <w:tcW w:w="258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6530B4A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0936-6121416</w:t>
            </w:r>
          </w:p>
        </w:tc>
        <w:tc>
          <w:tcPr>
            <w:tcW w:w="277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596BA7F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w:t>
            </w:r>
          </w:p>
        </w:tc>
      </w:tr>
    </w:tbl>
    <w:p w14:paraId="270871EA">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p w14:paraId="4CE30CF9">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p w14:paraId="31585353">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小标宋简体" w:cs="Times New Roman"/>
          <w:spacing w:val="23"/>
          <w:sz w:val="48"/>
          <w:szCs w:val="48"/>
        </w:rPr>
      </w:pPr>
    </w:p>
    <w:p w14:paraId="31423418">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小标宋简体" w:cs="Times New Roman"/>
          <w:spacing w:val="23"/>
          <w:sz w:val="48"/>
          <w:szCs w:val="48"/>
        </w:rPr>
      </w:pPr>
    </w:p>
    <w:p w14:paraId="30998D5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pacing w:val="23"/>
          <w:sz w:val="48"/>
          <w:szCs w:val="48"/>
        </w:rPr>
      </w:pPr>
    </w:p>
    <w:p w14:paraId="374BAB93">
      <w:pPr>
        <w:keepNext w:val="0"/>
        <w:keepLines w:val="0"/>
        <w:pageBreakBefore w:val="0"/>
        <w:widowControl w:val="0"/>
        <w:kinsoku/>
        <w:wordWrap/>
        <w:overflowPunct/>
        <w:topLinePunct w:val="0"/>
        <w:autoSpaceDE/>
        <w:autoSpaceDN/>
        <w:bidi w:val="0"/>
        <w:adjustRightInd/>
        <w:snapToGrid/>
        <w:spacing w:line="740" w:lineRule="exact"/>
        <w:jc w:val="center"/>
        <w:textAlignment w:val="auto"/>
        <w:rPr>
          <w:rFonts w:hint="default" w:ascii="Times New Roman" w:hAnsi="Times New Roman" w:eastAsia="方正小标宋简体" w:cs="Times New Roman"/>
          <w:spacing w:val="23"/>
          <w:sz w:val="48"/>
          <w:szCs w:val="48"/>
        </w:rPr>
      </w:pPr>
      <w:r>
        <w:rPr>
          <w:rFonts w:hint="default" w:ascii="Times New Roman" w:hAnsi="Times New Roman" w:eastAsia="方正小标宋简体" w:cs="Times New Roman"/>
          <w:spacing w:val="23"/>
          <w:sz w:val="48"/>
          <w:szCs w:val="48"/>
        </w:rPr>
        <w:t>肃</w:t>
      </w:r>
    </w:p>
    <w:p w14:paraId="7B8D896D">
      <w:pPr>
        <w:keepNext w:val="0"/>
        <w:keepLines w:val="0"/>
        <w:pageBreakBefore w:val="0"/>
        <w:widowControl w:val="0"/>
        <w:kinsoku/>
        <w:wordWrap/>
        <w:overflowPunct/>
        <w:topLinePunct w:val="0"/>
        <w:autoSpaceDE/>
        <w:autoSpaceDN/>
        <w:bidi w:val="0"/>
        <w:adjustRightInd/>
        <w:snapToGrid/>
        <w:spacing w:line="740" w:lineRule="exact"/>
        <w:jc w:val="center"/>
        <w:textAlignment w:val="auto"/>
        <w:rPr>
          <w:rFonts w:hint="default" w:ascii="Times New Roman" w:hAnsi="Times New Roman" w:eastAsia="方正小标宋简体" w:cs="Times New Roman"/>
          <w:spacing w:val="23"/>
          <w:sz w:val="48"/>
          <w:szCs w:val="48"/>
        </w:rPr>
      </w:pPr>
      <w:r>
        <w:rPr>
          <w:rFonts w:hint="default" w:ascii="Times New Roman" w:hAnsi="Times New Roman" w:eastAsia="方正小标宋简体" w:cs="Times New Roman"/>
          <w:spacing w:val="23"/>
          <w:sz w:val="48"/>
          <w:szCs w:val="48"/>
        </w:rPr>
        <w:t>南</w:t>
      </w:r>
    </w:p>
    <w:p w14:paraId="059FC39B">
      <w:pPr>
        <w:keepNext w:val="0"/>
        <w:keepLines w:val="0"/>
        <w:pageBreakBefore w:val="0"/>
        <w:widowControl w:val="0"/>
        <w:kinsoku/>
        <w:wordWrap/>
        <w:overflowPunct/>
        <w:topLinePunct w:val="0"/>
        <w:autoSpaceDE/>
        <w:autoSpaceDN/>
        <w:bidi w:val="0"/>
        <w:adjustRightInd/>
        <w:snapToGrid/>
        <w:spacing w:line="740" w:lineRule="exact"/>
        <w:jc w:val="center"/>
        <w:textAlignment w:val="auto"/>
        <w:rPr>
          <w:rFonts w:hint="default" w:ascii="Times New Roman" w:hAnsi="Times New Roman" w:eastAsia="方正小标宋简体" w:cs="Times New Roman"/>
          <w:spacing w:val="23"/>
          <w:sz w:val="48"/>
          <w:szCs w:val="48"/>
        </w:rPr>
      </w:pPr>
      <w:r>
        <w:rPr>
          <w:rFonts w:hint="default" w:ascii="Times New Roman" w:hAnsi="Times New Roman" w:eastAsia="方正小标宋简体" w:cs="Times New Roman"/>
          <w:spacing w:val="23"/>
          <w:sz w:val="48"/>
          <w:szCs w:val="48"/>
        </w:rPr>
        <w:t>县</w:t>
      </w:r>
    </w:p>
    <w:p w14:paraId="005DB4F9">
      <w:pPr>
        <w:keepNext w:val="0"/>
        <w:keepLines w:val="0"/>
        <w:pageBreakBefore w:val="0"/>
        <w:widowControl w:val="0"/>
        <w:kinsoku/>
        <w:wordWrap/>
        <w:overflowPunct/>
        <w:topLinePunct w:val="0"/>
        <w:autoSpaceDE/>
        <w:autoSpaceDN/>
        <w:bidi w:val="0"/>
        <w:adjustRightInd/>
        <w:snapToGrid/>
        <w:spacing w:line="740" w:lineRule="exact"/>
        <w:jc w:val="center"/>
        <w:textAlignment w:val="auto"/>
        <w:rPr>
          <w:rFonts w:hint="default" w:ascii="Times New Roman" w:hAnsi="Times New Roman" w:eastAsia="方正小标宋简体" w:cs="Times New Roman"/>
          <w:spacing w:val="23"/>
          <w:sz w:val="48"/>
          <w:szCs w:val="48"/>
        </w:rPr>
      </w:pPr>
      <w:r>
        <w:rPr>
          <w:rFonts w:hint="default" w:ascii="Times New Roman" w:hAnsi="Times New Roman" w:eastAsia="方正小标宋简体" w:cs="Times New Roman"/>
          <w:spacing w:val="23"/>
          <w:sz w:val="48"/>
          <w:szCs w:val="48"/>
        </w:rPr>
        <w:t>突</w:t>
      </w:r>
    </w:p>
    <w:p w14:paraId="3B603D81">
      <w:pPr>
        <w:keepNext w:val="0"/>
        <w:keepLines w:val="0"/>
        <w:pageBreakBefore w:val="0"/>
        <w:widowControl w:val="0"/>
        <w:kinsoku/>
        <w:wordWrap/>
        <w:overflowPunct/>
        <w:topLinePunct w:val="0"/>
        <w:autoSpaceDE/>
        <w:autoSpaceDN/>
        <w:bidi w:val="0"/>
        <w:adjustRightInd/>
        <w:snapToGrid/>
        <w:spacing w:line="740" w:lineRule="exact"/>
        <w:jc w:val="center"/>
        <w:textAlignment w:val="auto"/>
        <w:rPr>
          <w:rFonts w:hint="default" w:ascii="Times New Roman" w:hAnsi="Times New Roman" w:eastAsia="方正小标宋简体" w:cs="Times New Roman"/>
          <w:spacing w:val="23"/>
          <w:sz w:val="48"/>
          <w:szCs w:val="48"/>
        </w:rPr>
      </w:pPr>
      <w:r>
        <w:rPr>
          <w:rFonts w:hint="default" w:ascii="Times New Roman" w:hAnsi="Times New Roman" w:eastAsia="方正小标宋简体" w:cs="Times New Roman"/>
          <w:spacing w:val="23"/>
          <w:sz w:val="48"/>
          <w:szCs w:val="48"/>
        </w:rPr>
        <w:t>发</w:t>
      </w:r>
    </w:p>
    <w:p w14:paraId="2E067E60">
      <w:pPr>
        <w:keepNext w:val="0"/>
        <w:keepLines w:val="0"/>
        <w:pageBreakBefore w:val="0"/>
        <w:widowControl w:val="0"/>
        <w:kinsoku/>
        <w:wordWrap/>
        <w:overflowPunct/>
        <w:topLinePunct w:val="0"/>
        <w:autoSpaceDE/>
        <w:autoSpaceDN/>
        <w:bidi w:val="0"/>
        <w:adjustRightInd/>
        <w:snapToGrid/>
        <w:spacing w:line="740" w:lineRule="exact"/>
        <w:jc w:val="center"/>
        <w:textAlignment w:val="auto"/>
        <w:rPr>
          <w:rFonts w:hint="default" w:ascii="Times New Roman" w:hAnsi="Times New Roman" w:eastAsia="方正小标宋简体" w:cs="Times New Roman"/>
          <w:spacing w:val="23"/>
          <w:sz w:val="48"/>
          <w:szCs w:val="48"/>
        </w:rPr>
      </w:pPr>
      <w:r>
        <w:rPr>
          <w:rFonts w:hint="default" w:ascii="Times New Roman" w:hAnsi="Times New Roman" w:eastAsia="方正小标宋简体" w:cs="Times New Roman"/>
          <w:spacing w:val="23"/>
          <w:sz w:val="48"/>
          <w:szCs w:val="48"/>
        </w:rPr>
        <w:t>环</w:t>
      </w:r>
    </w:p>
    <w:p w14:paraId="3BCE828E">
      <w:pPr>
        <w:keepNext w:val="0"/>
        <w:keepLines w:val="0"/>
        <w:pageBreakBefore w:val="0"/>
        <w:widowControl w:val="0"/>
        <w:kinsoku/>
        <w:wordWrap/>
        <w:overflowPunct/>
        <w:topLinePunct w:val="0"/>
        <w:autoSpaceDE/>
        <w:autoSpaceDN/>
        <w:bidi w:val="0"/>
        <w:adjustRightInd/>
        <w:snapToGrid/>
        <w:spacing w:line="740" w:lineRule="exact"/>
        <w:jc w:val="center"/>
        <w:textAlignment w:val="auto"/>
        <w:rPr>
          <w:rFonts w:hint="default" w:ascii="Times New Roman" w:hAnsi="Times New Roman" w:eastAsia="方正小标宋简体" w:cs="Times New Roman"/>
          <w:spacing w:val="23"/>
          <w:sz w:val="48"/>
          <w:szCs w:val="48"/>
        </w:rPr>
      </w:pPr>
      <w:r>
        <w:rPr>
          <w:rFonts w:hint="default" w:ascii="Times New Roman" w:hAnsi="Times New Roman" w:eastAsia="方正小标宋简体" w:cs="Times New Roman"/>
          <w:spacing w:val="23"/>
          <w:sz w:val="48"/>
          <w:szCs w:val="48"/>
        </w:rPr>
        <w:t>境</w:t>
      </w:r>
    </w:p>
    <w:p w14:paraId="4E37B350">
      <w:pPr>
        <w:keepNext w:val="0"/>
        <w:keepLines w:val="0"/>
        <w:pageBreakBefore w:val="0"/>
        <w:widowControl w:val="0"/>
        <w:kinsoku/>
        <w:wordWrap/>
        <w:overflowPunct/>
        <w:topLinePunct w:val="0"/>
        <w:autoSpaceDE/>
        <w:autoSpaceDN/>
        <w:bidi w:val="0"/>
        <w:adjustRightInd/>
        <w:snapToGrid/>
        <w:spacing w:line="740" w:lineRule="exact"/>
        <w:jc w:val="center"/>
        <w:textAlignment w:val="auto"/>
        <w:rPr>
          <w:rFonts w:hint="default" w:ascii="Times New Roman" w:hAnsi="Times New Roman" w:eastAsia="方正小标宋简体" w:cs="Times New Roman"/>
          <w:spacing w:val="23"/>
          <w:sz w:val="48"/>
          <w:szCs w:val="48"/>
        </w:rPr>
      </w:pPr>
      <w:r>
        <w:rPr>
          <w:rFonts w:hint="default" w:ascii="Times New Roman" w:hAnsi="Times New Roman" w:eastAsia="方正小标宋简体" w:cs="Times New Roman"/>
          <w:spacing w:val="23"/>
          <w:sz w:val="48"/>
          <w:szCs w:val="48"/>
        </w:rPr>
        <w:t>事</w:t>
      </w:r>
    </w:p>
    <w:p w14:paraId="79D31E79">
      <w:pPr>
        <w:keepNext w:val="0"/>
        <w:keepLines w:val="0"/>
        <w:pageBreakBefore w:val="0"/>
        <w:widowControl w:val="0"/>
        <w:kinsoku/>
        <w:wordWrap/>
        <w:overflowPunct/>
        <w:topLinePunct w:val="0"/>
        <w:autoSpaceDE/>
        <w:autoSpaceDN/>
        <w:bidi w:val="0"/>
        <w:adjustRightInd/>
        <w:snapToGrid/>
        <w:spacing w:line="740" w:lineRule="exact"/>
        <w:jc w:val="center"/>
        <w:textAlignment w:val="auto"/>
        <w:rPr>
          <w:rFonts w:hint="default" w:ascii="Times New Roman" w:hAnsi="Times New Roman" w:eastAsia="方正小标宋简体" w:cs="Times New Roman"/>
          <w:spacing w:val="23"/>
          <w:sz w:val="48"/>
          <w:szCs w:val="48"/>
        </w:rPr>
      </w:pPr>
      <w:r>
        <w:rPr>
          <w:rFonts w:hint="default" w:ascii="Times New Roman" w:hAnsi="Times New Roman" w:eastAsia="方正小标宋简体" w:cs="Times New Roman"/>
          <w:spacing w:val="23"/>
          <w:sz w:val="48"/>
          <w:szCs w:val="48"/>
        </w:rPr>
        <w:t>件</w:t>
      </w:r>
    </w:p>
    <w:p w14:paraId="6678F38F">
      <w:pPr>
        <w:keepNext w:val="0"/>
        <w:keepLines w:val="0"/>
        <w:pageBreakBefore w:val="0"/>
        <w:widowControl w:val="0"/>
        <w:kinsoku/>
        <w:wordWrap/>
        <w:overflowPunct/>
        <w:topLinePunct w:val="0"/>
        <w:autoSpaceDE/>
        <w:autoSpaceDN/>
        <w:bidi w:val="0"/>
        <w:adjustRightInd/>
        <w:snapToGrid/>
        <w:spacing w:line="740" w:lineRule="exact"/>
        <w:jc w:val="center"/>
        <w:textAlignment w:val="auto"/>
        <w:rPr>
          <w:rFonts w:hint="default" w:ascii="Times New Roman" w:hAnsi="Times New Roman" w:eastAsia="方正小标宋简体" w:cs="Times New Roman"/>
          <w:spacing w:val="23"/>
          <w:sz w:val="48"/>
          <w:szCs w:val="48"/>
        </w:rPr>
      </w:pPr>
      <w:r>
        <w:rPr>
          <w:rFonts w:hint="default" w:ascii="Times New Roman" w:hAnsi="Times New Roman" w:eastAsia="方正小标宋简体" w:cs="Times New Roman"/>
          <w:spacing w:val="23"/>
          <w:sz w:val="48"/>
          <w:szCs w:val="48"/>
        </w:rPr>
        <w:t>风</w:t>
      </w:r>
    </w:p>
    <w:p w14:paraId="3A413AED">
      <w:pPr>
        <w:keepNext w:val="0"/>
        <w:keepLines w:val="0"/>
        <w:pageBreakBefore w:val="0"/>
        <w:widowControl w:val="0"/>
        <w:kinsoku/>
        <w:wordWrap/>
        <w:overflowPunct/>
        <w:topLinePunct w:val="0"/>
        <w:autoSpaceDE/>
        <w:autoSpaceDN/>
        <w:bidi w:val="0"/>
        <w:adjustRightInd/>
        <w:snapToGrid/>
        <w:spacing w:line="740" w:lineRule="exact"/>
        <w:jc w:val="center"/>
        <w:textAlignment w:val="auto"/>
        <w:rPr>
          <w:rFonts w:hint="default" w:ascii="Times New Roman" w:hAnsi="Times New Roman" w:eastAsia="方正小标宋简体" w:cs="Times New Roman"/>
          <w:spacing w:val="23"/>
          <w:sz w:val="48"/>
          <w:szCs w:val="48"/>
        </w:rPr>
      </w:pPr>
      <w:r>
        <w:rPr>
          <w:rFonts w:hint="default" w:ascii="Times New Roman" w:hAnsi="Times New Roman" w:eastAsia="方正小标宋简体" w:cs="Times New Roman"/>
          <w:spacing w:val="23"/>
          <w:sz w:val="48"/>
          <w:szCs w:val="48"/>
        </w:rPr>
        <w:t>险</w:t>
      </w:r>
    </w:p>
    <w:p w14:paraId="7DC54744">
      <w:pPr>
        <w:keepNext w:val="0"/>
        <w:keepLines w:val="0"/>
        <w:pageBreakBefore w:val="0"/>
        <w:widowControl w:val="0"/>
        <w:kinsoku/>
        <w:wordWrap/>
        <w:overflowPunct/>
        <w:topLinePunct w:val="0"/>
        <w:autoSpaceDE/>
        <w:autoSpaceDN/>
        <w:bidi w:val="0"/>
        <w:adjustRightInd/>
        <w:snapToGrid/>
        <w:spacing w:line="740" w:lineRule="exact"/>
        <w:jc w:val="center"/>
        <w:textAlignment w:val="auto"/>
        <w:rPr>
          <w:rFonts w:hint="default" w:ascii="Times New Roman" w:hAnsi="Times New Roman" w:eastAsia="方正小标宋简体" w:cs="Times New Roman"/>
          <w:spacing w:val="23"/>
          <w:sz w:val="48"/>
          <w:szCs w:val="48"/>
        </w:rPr>
      </w:pPr>
      <w:r>
        <w:rPr>
          <w:rFonts w:hint="default" w:ascii="Times New Roman" w:hAnsi="Times New Roman" w:eastAsia="方正小标宋简体" w:cs="Times New Roman"/>
          <w:spacing w:val="23"/>
          <w:sz w:val="48"/>
          <w:szCs w:val="48"/>
        </w:rPr>
        <w:t>评</w:t>
      </w:r>
    </w:p>
    <w:p w14:paraId="7583C510">
      <w:pPr>
        <w:keepNext w:val="0"/>
        <w:keepLines w:val="0"/>
        <w:pageBreakBefore w:val="0"/>
        <w:widowControl w:val="0"/>
        <w:kinsoku/>
        <w:wordWrap/>
        <w:overflowPunct/>
        <w:topLinePunct w:val="0"/>
        <w:autoSpaceDE/>
        <w:autoSpaceDN/>
        <w:bidi w:val="0"/>
        <w:adjustRightInd/>
        <w:snapToGrid/>
        <w:spacing w:line="740" w:lineRule="exact"/>
        <w:jc w:val="center"/>
        <w:textAlignment w:val="auto"/>
        <w:rPr>
          <w:rFonts w:hint="default" w:ascii="Times New Roman" w:hAnsi="Times New Roman" w:eastAsia="方正小标宋简体" w:cs="Times New Roman"/>
          <w:spacing w:val="23"/>
          <w:sz w:val="48"/>
          <w:szCs w:val="48"/>
        </w:rPr>
      </w:pPr>
      <w:r>
        <w:rPr>
          <w:rFonts w:hint="default" w:ascii="Times New Roman" w:hAnsi="Times New Roman" w:eastAsia="方正小标宋简体" w:cs="Times New Roman"/>
          <w:spacing w:val="23"/>
          <w:sz w:val="48"/>
          <w:szCs w:val="48"/>
        </w:rPr>
        <w:t>估</w:t>
      </w:r>
    </w:p>
    <w:p w14:paraId="35C1421A">
      <w:pPr>
        <w:keepNext w:val="0"/>
        <w:keepLines w:val="0"/>
        <w:pageBreakBefore w:val="0"/>
        <w:widowControl w:val="0"/>
        <w:kinsoku/>
        <w:wordWrap/>
        <w:overflowPunct/>
        <w:topLinePunct w:val="0"/>
        <w:autoSpaceDE/>
        <w:autoSpaceDN/>
        <w:bidi w:val="0"/>
        <w:adjustRightInd/>
        <w:snapToGrid/>
        <w:spacing w:line="740" w:lineRule="exact"/>
        <w:jc w:val="center"/>
        <w:textAlignment w:val="auto"/>
        <w:rPr>
          <w:rFonts w:hint="default" w:ascii="Times New Roman" w:hAnsi="Times New Roman" w:eastAsia="方正小标宋简体" w:cs="Times New Roman"/>
          <w:spacing w:val="23"/>
          <w:sz w:val="48"/>
          <w:szCs w:val="48"/>
        </w:rPr>
      </w:pPr>
      <w:r>
        <w:rPr>
          <w:rFonts w:hint="default" w:ascii="Times New Roman" w:hAnsi="Times New Roman" w:eastAsia="方正小标宋简体" w:cs="Times New Roman"/>
          <w:spacing w:val="23"/>
          <w:sz w:val="48"/>
          <w:szCs w:val="48"/>
        </w:rPr>
        <w:t>报</w:t>
      </w:r>
    </w:p>
    <w:p w14:paraId="5BAA0241">
      <w:pPr>
        <w:keepNext w:val="0"/>
        <w:keepLines w:val="0"/>
        <w:pageBreakBefore w:val="0"/>
        <w:widowControl w:val="0"/>
        <w:kinsoku/>
        <w:wordWrap/>
        <w:overflowPunct/>
        <w:topLinePunct w:val="0"/>
        <w:autoSpaceDE/>
        <w:autoSpaceDN/>
        <w:bidi w:val="0"/>
        <w:adjustRightInd/>
        <w:snapToGrid/>
        <w:spacing w:line="740" w:lineRule="exact"/>
        <w:jc w:val="center"/>
        <w:textAlignment w:val="auto"/>
        <w:rPr>
          <w:rFonts w:hint="default" w:ascii="Times New Roman" w:hAnsi="Times New Roman" w:eastAsia="方正小标宋简体" w:cs="Times New Roman"/>
          <w:spacing w:val="23"/>
          <w:sz w:val="48"/>
          <w:szCs w:val="48"/>
        </w:rPr>
      </w:pPr>
      <w:r>
        <w:rPr>
          <w:rFonts w:hint="default" w:ascii="Times New Roman" w:hAnsi="Times New Roman" w:eastAsia="方正小标宋简体" w:cs="Times New Roman"/>
          <w:spacing w:val="23"/>
          <w:sz w:val="48"/>
          <w:szCs w:val="48"/>
        </w:rPr>
        <w:t>告</w:t>
      </w:r>
    </w:p>
    <w:p w14:paraId="7D5B92EB">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p w14:paraId="5AF0ACAF">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p w14:paraId="631D004F">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小标宋简体" w:cs="Times New Roman"/>
          <w:sz w:val="44"/>
          <w:szCs w:val="44"/>
        </w:rPr>
      </w:pPr>
    </w:p>
    <w:p w14:paraId="2281003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8"/>
          <w:szCs w:val="48"/>
        </w:rPr>
      </w:pPr>
      <w:r>
        <w:rPr>
          <w:rFonts w:hint="default" w:ascii="Times New Roman" w:hAnsi="Times New Roman" w:eastAsia="方正小标宋简体" w:cs="Times New Roman"/>
          <w:sz w:val="48"/>
          <w:szCs w:val="48"/>
        </w:rPr>
        <w:t>肃南县突发生态环境事件风险评估报告</w:t>
      </w:r>
      <w:bookmarkStart w:id="67" w:name="heading_71"/>
    </w:p>
    <w:p w14:paraId="2D71091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32"/>
          <w:szCs w:val="32"/>
          <w:lang w:eastAsia="zh-CN"/>
        </w:rPr>
      </w:pPr>
    </w:p>
    <w:bookmarkEnd w:id="67"/>
    <w:p w14:paraId="7C6495B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lang w:eastAsia="zh-CN"/>
        </w:rPr>
        <w:t>一、</w:t>
      </w:r>
      <w:r>
        <w:rPr>
          <w:rFonts w:hint="default" w:ascii="Times New Roman" w:hAnsi="Times New Roman" w:eastAsia="黑体" w:cs="Times New Roman"/>
          <w:sz w:val="32"/>
          <w:szCs w:val="32"/>
        </w:rPr>
        <w:t>肃南县自然环境概况</w:t>
      </w:r>
    </w:p>
    <w:p w14:paraId="614DCDA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sz w:val="32"/>
          <w:szCs w:val="32"/>
        </w:rPr>
      </w:pPr>
      <w:bookmarkStart w:id="68" w:name="heading_72"/>
      <w:r>
        <w:rPr>
          <w:rFonts w:hint="default" w:ascii="Times New Roman" w:hAnsi="Times New Roman" w:eastAsia="楷体_GB2312" w:cs="Times New Roman"/>
          <w:sz w:val="32"/>
          <w:szCs w:val="32"/>
          <w:lang w:val="en-US" w:eastAsia="zh-CN"/>
        </w:rPr>
        <w:t>（一）</w:t>
      </w:r>
      <w:r>
        <w:rPr>
          <w:rFonts w:hint="default" w:ascii="Times New Roman" w:hAnsi="Times New Roman" w:eastAsia="楷体_GB2312" w:cs="Times New Roman"/>
          <w:sz w:val="32"/>
          <w:szCs w:val="32"/>
        </w:rPr>
        <w:t>地理位置</w:t>
      </w:r>
      <w:bookmarkEnd w:id="68"/>
    </w:p>
    <w:p w14:paraId="6355D51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肃南县是全国唯一的裕固族自治县，位于张掖市南部，地处河西走廊中东部、祁连山北麓，整个区域横跨河西五市，与甘青两省7个市州的15个市县区接壤，处于东经97°20′~102°12′，北纬37°28′~39°04′之间。东西长650公里，南北宽120—200公里，总面积2.38万平方公里。现辖6乡2镇（马蹄藏族乡、康乐乡、白银蒙古族乡、大河乡、明花乡、祁丰藏族乡、红湾寺镇、皇城镇）、3个国有林牧场、101个行政村和3个城镇社区，有裕固、藏、蒙古、回、汉等</w:t>
      </w:r>
      <w:r>
        <w:rPr>
          <w:rFonts w:hint="eastAsia" w:ascii="Times New Roman" w:hAnsi="Times New Roman" w:eastAsia="仿宋_GB2312" w:cs="Times New Roman"/>
          <w:sz w:val="32"/>
          <w:szCs w:val="32"/>
          <w:lang w:val="en-US" w:eastAsia="zh-CN"/>
        </w:rPr>
        <w:t>21</w:t>
      </w:r>
      <w:r>
        <w:rPr>
          <w:rFonts w:hint="default" w:ascii="Times New Roman" w:hAnsi="Times New Roman" w:eastAsia="仿宋_GB2312" w:cs="Times New Roman"/>
          <w:sz w:val="32"/>
          <w:szCs w:val="32"/>
        </w:rPr>
        <w:t>个民族。由四块不连片的地域组成，主要部分南界为青海省，西与西北连酒泉市、嘉峪关市，北靠高台县、临泽县民乐县和甘州区。飞地1明花乡在高台县西部，飞地2皇城镇在山丹县东部，飞地3大泉沟村在民乐县中南部，为马蹄藏族乡飞地。</w:t>
      </w:r>
    </w:p>
    <w:p w14:paraId="3604F0C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sz w:val="32"/>
          <w:szCs w:val="32"/>
          <w:lang w:val="en-US" w:eastAsia="zh-CN"/>
        </w:rPr>
      </w:pPr>
      <w:bookmarkStart w:id="69" w:name="heading_73"/>
      <w:r>
        <w:rPr>
          <w:rFonts w:hint="default" w:ascii="Times New Roman" w:hAnsi="Times New Roman" w:eastAsia="楷体_GB2312" w:cs="Times New Roman"/>
          <w:sz w:val="32"/>
          <w:szCs w:val="32"/>
          <w:lang w:val="en-US" w:eastAsia="zh-CN"/>
        </w:rPr>
        <w:t>（二）地形、地貌、地质</w:t>
      </w:r>
      <w:bookmarkEnd w:id="69"/>
    </w:p>
    <w:p w14:paraId="470ECEE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肃南县地势起伏大、地貌形态多样，主要为中高山地、峡谷、洪积走廊平原。境内山脉呈东西走向，祁连山主峰耸立于肃南县西端，海拔5564米。从祁连山主峰往东，地势逐渐降低，至县城红湾寺，海拔降至2000多米。从红湾寺往东至自治县东端的冷龙岭，海拔又升至5000米以上。地形呈狭长地带，平均</w:t>
      </w:r>
      <w:r>
        <w:rPr>
          <w:rFonts w:hint="default" w:ascii="Times New Roman" w:hAnsi="Times New Roman" w:eastAsia="仿宋_GB2312" w:cs="Times New Roman"/>
          <w:sz w:val="32"/>
          <w:szCs w:val="32"/>
          <w:lang w:eastAsia="zh-CN"/>
        </w:rPr>
        <w:t>海拔</w:t>
      </w:r>
      <w:r>
        <w:rPr>
          <w:rFonts w:hint="default" w:ascii="Times New Roman" w:hAnsi="Times New Roman" w:eastAsia="仿宋_GB2312" w:cs="Times New Roman"/>
          <w:sz w:val="32"/>
          <w:szCs w:val="32"/>
        </w:rPr>
        <w:t>约3200米。自西向东群峰横列，变化在500</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3800米之间。</w:t>
      </w:r>
    </w:p>
    <w:p w14:paraId="214BA78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肃南县在大地构造上属于北祁连褶皱带，为前震旦亚带至晚古生代发育的地槽性褶皱带。在漫长的地质历史中，以褶皱、断裂为主要方式经历了多期并具有多旋回性和继承性的构造运动，形成了古河西系、祁吕系及河西系三期三大构造体系。并在流水地质作用下，形成了走廊南山、冷龙岭、托莱南山三大复背斜带，黑河上游东西岔谷地、梨园河上游谷地、珠龙关谷地三个断陷带及河西走廊、托莱谷地两大凹陷带，最终形成了南部山地和北部走廊平原两大地貌单元。</w:t>
      </w:r>
    </w:p>
    <w:p w14:paraId="092D87E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南部山地分属祁连山中段和东段，以海拔2000</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5500米不等的中山、高山为主：中段包括马蹄、康乐、大河及祁丰南部地区，由北向南依次排布有：走廊南山、珠龙关谷地、陶莱山、陶莱谷地及陶莱南山。祁连山主峰素珠链峰海拔5564米，为境内最高峰。东段部分指冷龙岭，皇城镇位于此段。</w:t>
      </w:r>
    </w:p>
    <w:p w14:paraId="7114A31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走廊平原位于兰新铁路南北两侧的祁丰北部和明花地势平坦，绿洲、戈壁、沙漠、沼泽、盐湖</w:t>
      </w:r>
      <w:r>
        <w:rPr>
          <w:rFonts w:hint="default" w:ascii="Times New Roman" w:hAnsi="Times New Roman" w:eastAsia="仿宋_GB2312" w:cs="Times New Roman"/>
          <w:sz w:val="32"/>
          <w:szCs w:val="32"/>
          <w:lang w:eastAsia="zh-CN"/>
        </w:rPr>
        <w:t>夹杂</w:t>
      </w:r>
      <w:r>
        <w:rPr>
          <w:rFonts w:hint="default" w:ascii="Times New Roman" w:hAnsi="Times New Roman" w:eastAsia="仿宋_GB2312" w:cs="Times New Roman"/>
          <w:sz w:val="32"/>
          <w:szCs w:val="32"/>
        </w:rPr>
        <w:t>其间，属沙漠和荒漠地带。祁丰北部为山麓洪积平原区，海拔1700</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2300米，此区域南部处于走廊边缘，风力较小，风蚀作用较弱，北部因风蚀严重，基本成为戈壁；明花属于冲洪积，湖积平原，位于走廊中部地带，地形低洼，地下水位高，但排水不良，地面盐渍化严重。此地带南部因植被稀疏，风蚀严重，已成为戈壁。东部为风沙沉积地区，沙丘广布。</w:t>
      </w:r>
    </w:p>
    <w:p w14:paraId="5DA0E17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在岩相上以海相沉积为主，伴有大量的岩浆喷发和侵入。在成岩过程中，由于受构造运动的强烈影响，绝大部分经历了区域浅—深变质，故底层成因复杂，发育齐全。特别是在马蹄区发育了在白垩系中下统新民堡群（k1—2xma）下沟组的紫红色砂岩、砾岩夹砂砾岩和白垩系中下统新民堡群（k1—2xmb）中沟组的紫红色、灰绿色、黄绿色、灰黑色等杂色泥岩、砂质泥岩，形成似彩带般的丹霞地貌景观。同时，侵蚀—堆积构造地貌分布面积大，表现为山顶平缓，山坡陡直，山麓多有圆锥状堆积物，特</w:t>
      </w:r>
      <w:r>
        <w:rPr>
          <w:rFonts w:hint="default" w:ascii="Times New Roman" w:hAnsi="Times New Roman" w:eastAsia="仿宋_GB2312" w:cs="Times New Roman"/>
          <w:sz w:val="32"/>
          <w:szCs w:val="32"/>
          <w:lang w:eastAsia="zh-CN"/>
        </w:rPr>
        <w:t>别是</w:t>
      </w:r>
      <w:r>
        <w:rPr>
          <w:rFonts w:hint="default" w:ascii="Times New Roman" w:hAnsi="Times New Roman" w:eastAsia="仿宋_GB2312" w:cs="Times New Roman"/>
          <w:sz w:val="32"/>
          <w:szCs w:val="32"/>
        </w:rPr>
        <w:t>在白垩系地层上发育了形如柱状、峰状、堡状、泥人、拟物、拟兽等奇形怪状的微地貌景观，这些构成了肃南县独有的地貌旅游景观。</w:t>
      </w:r>
    </w:p>
    <w:p w14:paraId="6FE3A6B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sz w:val="32"/>
          <w:szCs w:val="32"/>
          <w:lang w:val="en-US" w:eastAsia="zh-CN"/>
        </w:rPr>
      </w:pPr>
      <w:bookmarkStart w:id="70" w:name="heading_74"/>
      <w:r>
        <w:rPr>
          <w:rFonts w:hint="default" w:ascii="Times New Roman" w:hAnsi="Times New Roman" w:eastAsia="楷体_GB2312" w:cs="Times New Roman"/>
          <w:sz w:val="32"/>
          <w:szCs w:val="32"/>
          <w:lang w:val="en-US" w:eastAsia="zh-CN"/>
        </w:rPr>
        <w:t>（三）气候状况</w:t>
      </w:r>
      <w:bookmarkEnd w:id="70"/>
    </w:p>
    <w:p w14:paraId="0F4D37E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肃南县地处中纬度大陆腹地，青藏高原东北边缘，加之祁连山区地势高低悬殊，而且地形起伏，山大沟深和中小盆地的分布，这就导致了气候上既具有温差大、四季分明的大陆性气候的特点，同时又具有显著的垂直地带性变化的高山气候特点。</w:t>
      </w:r>
    </w:p>
    <w:p w14:paraId="31FD35C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肃南县气候特点表现为：冬冷夏凉，热量少，无霜期短，光照资源丰富；夏季多雨，冬春雪少，春季降水量变化率大。全年平均气温4.2℃，年平均风速4.07米每秒，无霜期83天左右，年日照3085小时，年降雨量250</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350毫米。主要灾害天气有：干旱、低温、寒潮、大雪、霜冻、暴雨、冰雹等，局部地区特别是山区易发生山洪，连阴雨后易发生滑坡、泥石流。</w:t>
      </w:r>
    </w:p>
    <w:p w14:paraId="114A0CC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sz w:val="32"/>
          <w:szCs w:val="32"/>
          <w:lang w:val="en-US" w:eastAsia="zh-CN"/>
        </w:rPr>
      </w:pPr>
      <w:bookmarkStart w:id="71" w:name="heading_75"/>
      <w:r>
        <w:rPr>
          <w:rFonts w:hint="default" w:ascii="Times New Roman" w:hAnsi="Times New Roman" w:eastAsia="楷体_GB2312" w:cs="Times New Roman"/>
          <w:sz w:val="32"/>
          <w:szCs w:val="32"/>
          <w:lang w:val="en-US" w:eastAsia="zh-CN"/>
        </w:rPr>
        <w:t>（四）水文概况</w:t>
      </w:r>
      <w:bookmarkEnd w:id="71"/>
    </w:p>
    <w:p w14:paraId="601F1C8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1.</w:t>
      </w:r>
      <w:r>
        <w:rPr>
          <w:rFonts w:hint="default" w:ascii="Times New Roman" w:hAnsi="Times New Roman" w:eastAsia="仿宋_GB2312" w:cs="Times New Roman"/>
          <w:sz w:val="32"/>
          <w:szCs w:val="32"/>
        </w:rPr>
        <w:t>地表水</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肃南县地处内陆河流域，境内地表水丰富，南部祁连山区是河西走廊诸多河流的发源地，境内共有三大内陆河黑河、石羊河、疏勒河及其30多条支流（主要河流11条，自西向东有北大河、洪水坝河、丰乐河、马营河、梨园河（至肃南县双岔汇合后称隆畅河，至红湾寺后称梨园河，详见肃南县河流水系分布图附图4）、黑河、大都麻河、东大河、西大河、西营河等；小河23条，主要有红山河、观山河、摆浪河、水关河、大瓷窑河、大野口河、海潮坝河、马蹄河、小都麻河等），流经和发源于肃南山区，总流域面积2.15万平方公里，从青海入境水量14.58亿立方米，年径流总量43.1l亿立方米，出境水量43.1l亿立方米，其中石羊河水系8.54亿立方米，黑河水系36.68亿立方米（入境14.58亿立方米，自产水量19.10亿立方米），肃南县境内疏勒河水系0.89亿立方米。年自产水总量28.53亿立方米，全县人均流量8.4万立方米，是全国人均流量的32倍、全省人均流量的56倍。2、地下水</w:t>
      </w:r>
    </w:p>
    <w:p w14:paraId="30787318">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肃南县地下水主要有三种形式，祁连山褶皱上升区基岩裂隙水—层间水；河西走廊第四系冲、洪积扇孔隙性潜水；河西走廊平原区孔隙性潜水及承压水。</w:t>
      </w:r>
    </w:p>
    <w:p w14:paraId="05724E3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祁连山褶皱上升区基岩裂隙水—层间水，主要受地层断裂发育程度和风化带深度控制，埋深在20</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250米之间，可在小沟、小河和山前溢出泉水，通过截、蓄、引、提等多种形式成为牧区人畜饮水和牧业生产、生活的重要水源；河西走廊第四系冲、洪积扇孔隙性潜水，埋藏较深，一般在200米以下，开采利用难度较大；河西走廊平原区孔隙性潜水及承压水，由于平原区地层结构主要为第四系松散堆积物，孔隙性潜水及承压水补给量充足，地下水丰富，在150米深度内有2—3个含水层，水质好，开采条件较好。</w:t>
      </w:r>
    </w:p>
    <w:p w14:paraId="4D923F8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山区地下水资源分布为：黑河水系年储量19.1038亿立方米，石羊河水系年</w:t>
      </w:r>
      <w:r>
        <w:rPr>
          <w:rFonts w:hint="default" w:ascii="Times New Roman" w:hAnsi="Times New Roman" w:eastAsia="仿宋_GB2312" w:cs="Times New Roman"/>
          <w:sz w:val="32"/>
          <w:szCs w:val="32"/>
          <w:lang w:eastAsia="zh-CN"/>
        </w:rPr>
        <w:t>储量</w:t>
      </w:r>
      <w:r>
        <w:rPr>
          <w:rFonts w:hint="default" w:ascii="Times New Roman" w:hAnsi="Times New Roman" w:eastAsia="仿宋_GB2312" w:cs="Times New Roman"/>
          <w:sz w:val="32"/>
          <w:szCs w:val="32"/>
        </w:rPr>
        <w:t>8.58亿立方米，疏勒河水系年储量0.89亿立方米。</w:t>
      </w:r>
    </w:p>
    <w:p w14:paraId="5ECD356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冰川</w:t>
      </w:r>
    </w:p>
    <w:p w14:paraId="468C19C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境内有冰川965条，面积416.9平方公里，冰储量14.20立方公里，成为河流的主要补给水源，著名的“七一冰川”即在境内。</w:t>
      </w:r>
    </w:p>
    <w:p w14:paraId="3620698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sz w:val="32"/>
          <w:szCs w:val="32"/>
          <w:lang w:val="en-US" w:eastAsia="zh-CN"/>
        </w:rPr>
      </w:pPr>
      <w:bookmarkStart w:id="72" w:name="heading_76"/>
      <w:r>
        <w:rPr>
          <w:rFonts w:hint="default" w:ascii="Times New Roman" w:hAnsi="Times New Roman" w:eastAsia="楷体_GB2312" w:cs="Times New Roman"/>
          <w:sz w:val="32"/>
          <w:szCs w:val="32"/>
          <w:lang w:val="en-US" w:eastAsia="zh-CN"/>
        </w:rPr>
        <w:t>（五）矿产资源</w:t>
      </w:r>
      <w:bookmarkEnd w:id="72"/>
    </w:p>
    <w:p w14:paraId="5E6126B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肃南县境内有较为丰富的矿产资源。截至2005年底，已探明的矿产27种，分布有228处。已探明的主要金属矿产有煤炭、铁、铜、铬、钨、锰等，非金属矿有萤石、石灰岩、</w:t>
      </w:r>
      <w:r>
        <w:rPr>
          <w:rFonts w:hint="default" w:ascii="Times New Roman" w:hAnsi="Times New Roman" w:eastAsia="仿宋_GB2312" w:cs="Times New Roman"/>
          <w:sz w:val="32"/>
          <w:szCs w:val="32"/>
          <w:lang w:eastAsia="zh-CN"/>
        </w:rPr>
        <w:t>石英砂</w:t>
      </w:r>
      <w:r>
        <w:rPr>
          <w:rFonts w:hint="default" w:ascii="Times New Roman" w:hAnsi="Times New Roman" w:eastAsia="仿宋_GB2312" w:cs="Times New Roman"/>
          <w:sz w:val="32"/>
          <w:szCs w:val="32"/>
        </w:rPr>
        <w:t>、硫、粘土、石膏、石棉、磷镁、白云岩、玉石、芒硝、重晶石、大理石、矿泉水等16种32处。肃南县是国家确定的12个找矿重点区带之一，也是甘肃省黑色、有色金属矿产的集中区，在金属矿产中钨矿储藏量在全国单个矿山储藏量中排名前5位，储藏量达46万吨。居全国北方之首；铁矿资源占全省铁矿资源总量的80%，镜铁山铁矿床是我国西北地区发现和勘探最早的大型铁矿床，拥有探明储量4.84亿吨，由此出现了与铁矿共生的酒泉钢铁公司和“钢城”嘉峪关市。</w:t>
      </w:r>
    </w:p>
    <w:p w14:paraId="3C2318A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sz w:val="32"/>
          <w:szCs w:val="32"/>
          <w:lang w:val="en-US" w:eastAsia="zh-CN"/>
        </w:rPr>
      </w:pPr>
      <w:bookmarkStart w:id="73" w:name="heading_77"/>
      <w:r>
        <w:rPr>
          <w:rFonts w:hint="default" w:ascii="Times New Roman" w:hAnsi="Times New Roman" w:eastAsia="楷体_GB2312" w:cs="Times New Roman"/>
          <w:sz w:val="32"/>
          <w:szCs w:val="32"/>
          <w:lang w:val="en-US" w:eastAsia="zh-CN"/>
        </w:rPr>
        <w:t>（六）土壤状况</w:t>
      </w:r>
      <w:bookmarkEnd w:id="73"/>
    </w:p>
    <w:p w14:paraId="4191BC7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县域内土壤具有显著的垂直性发育特征。南部祁连高山草原区分布有高山草甸土、高山草原土、亚高山草原土、亚高山草甸土、森林灰褐土、山地黑钙土、灰钙土、灌淤土等。此外，灰棕漠土、沼泽土、草甸土、盐土、风沙土等也有零星分布。从垂直地带性看，高山草甸土主要分布在海拔3600—4000米的祁连山高山地带，植被以湿生的莎草为主，适合发展牧业，可作为夏秋牧场。高山草原土分布在陶莱山、陶莱南山一带海拔3200—3800米的地带上，土层较薄，植被稀疏矮小，多为紫花针茅、高山早熟禾等。亚高山草甸土分布在海拔3000—3800米的地带上，母质为坡积、冰碛物和黄土母质，植被以湿中生禾草、莎草及灌木为主，肥力高。亚高山草原土主要分布在海拔3000—3550米的地带上，均在阳坡，地形较陡，土层薄，母质为坡积物，植被以中生草本为主，肥力低。森林灰褐土主要分布在云杉林、早熟禾分布的地区，土壤肥力较高。山地黑钙土主要分布在海拔2700—3000米的阴坡、半阴坡及低平地处，母质为坡积物和黄土，植被以中早生草本为主。北部丹霞区内土壤主要为灰钙土和灌淤土；灰钙土主要分布于丘陵区，是草原向荒漠过渡的地带性土壤，剖面分化很弱，发生层次不明显，颜色为浅棕色，有机质含量少。灌淤土分布于梨园河河谷一带，熟化程度高，养分含量高、通气性好，可满足粮食作物及瓜果、蔬菜的生长。</w:t>
      </w:r>
    </w:p>
    <w:p w14:paraId="7600B5A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sz w:val="32"/>
          <w:szCs w:val="32"/>
          <w:lang w:val="en-US" w:eastAsia="zh-CN"/>
        </w:rPr>
      </w:pPr>
      <w:bookmarkStart w:id="74" w:name="heading_78"/>
      <w:r>
        <w:rPr>
          <w:rFonts w:hint="default" w:ascii="Times New Roman" w:hAnsi="Times New Roman" w:eastAsia="楷体_GB2312" w:cs="Times New Roman"/>
          <w:sz w:val="32"/>
          <w:szCs w:val="32"/>
          <w:lang w:val="en-US" w:eastAsia="zh-CN"/>
        </w:rPr>
        <w:t>（七）动植物资源与植被类型</w:t>
      </w:r>
      <w:bookmarkEnd w:id="74"/>
    </w:p>
    <w:p w14:paraId="0BD8919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1.</w:t>
      </w:r>
      <w:r>
        <w:rPr>
          <w:rFonts w:hint="default" w:ascii="Times New Roman" w:hAnsi="Times New Roman" w:eastAsia="仿宋_GB2312" w:cs="Times New Roman"/>
          <w:sz w:val="32"/>
          <w:szCs w:val="32"/>
        </w:rPr>
        <w:t>植物</w:t>
      </w:r>
    </w:p>
    <w:p w14:paraId="38A62A5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肃南县不仅有丰富的森林资源，更有丰富的牧草资源。境内森林属祁连山原始森林，天然森林资源以青海云杉和祁连圆柏为主，其中青海云杉为主的森林多位于海拔2300—3400米之间，集中分布于阴坡、半阴坡地带，既是祁连山植被的精华，也是水源涵养功能发挥的主体，更是辖区内动植物的天然乐园。而种类繁多的优质牧草造就了肃南发展畜牧业的独特优势，丰富多样的天然草场约占全县总面积的70%，是甘肃省重要的畜牧业生产基地之一。草场种类分为高山灌丛草场、草甸草场、典型草场、半荒漠草场、荒漠草场、沙窝草场等六大类。全县天然植被共分4门、71科、302属、706种，有大量适宜于草原、荒漠及雪山生长的沙生植被，还有100多种中药材和19种主要珍贵野生动物，如名贵药材的芨芨、沙竹、甘草、锁阳、黄芪、雪莲等，有属于国宝级的星叶草、苁蓉、蒙古扁桃、裸果木等植物。</w:t>
      </w:r>
    </w:p>
    <w:p w14:paraId="1F79927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2.</w:t>
      </w:r>
      <w:r>
        <w:rPr>
          <w:rFonts w:hint="default" w:ascii="Times New Roman" w:hAnsi="Times New Roman" w:eastAsia="仿宋_GB2312" w:cs="Times New Roman"/>
          <w:sz w:val="32"/>
          <w:szCs w:val="32"/>
        </w:rPr>
        <w:t>野生动物</w:t>
      </w:r>
    </w:p>
    <w:p w14:paraId="74BA8BD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肃南县境内野生动物资源比较丰富，特别是珍贵动物种类较多，是自治县的自然财富和宝贵的自然历史遗产。据调查，野生脊椎动物近300种，其中兽类47种，鸟类170种，两栖爬行类13种，属于国家保护的一、二级珍稀动物有50种。</w:t>
      </w:r>
    </w:p>
    <w:p w14:paraId="2648EC7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兽类：在海拔4100～4300米的高山裸岩带，分布有雪豹、盘羊、白唇鹿等。在海拔2400～3900米的高山草原、针叶林、灌丛和河谷林灌地带，栖居有石貂，猞猁、麝、甘肃马鹿、白唇鹿、盘羊、石羊、青羊、野牦牛、野驴、西藏原羚、黄羊等野生兽类动物。</w:t>
      </w:r>
    </w:p>
    <w:p w14:paraId="308ADAF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鸟类：由于祁连山气候、地形和植物等呈垂直变化，鸟类资源比较丰富。在海拔4100～4200米，有藏雪鸡、胡兀鹫、玉带海雕、白尾海雕以及褐岩鹨、林岭雀。海拔3600～4000米，鸟类有高原山鹁、角白灵、褐背拟地鸦、藏雪鸡、钨岩鹨、林岭雀、棕胸岩鹨、云雀、雪鸽。在海拔2400～3000米地带有高山雪鸡、斑尾榛鸡、血雉、蓝马鸡、黑冠山雀、裸头山雀、白脸鸦、黑头鸦、黑啄木鸟、三趾啄木鸟等。在高山草甸中分布有高山雪鸡、斑尾山鹑、灰眉岩，褐背拟地鸦、喜鹊等，在低海拔的草甸草原中还有寒鸦、山石鸡、蓝额红尾鸲、赭红尾鸲等。</w:t>
      </w:r>
    </w:p>
    <w:p w14:paraId="1B82CD4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野生珍稀保护动物有白唇鹿、野牦牛、野驴、雪豹、蓝马鸡、雪鸡、马麝、甘肃马鹿、盘羊、石貂、猞猁、藏原羚。</w:t>
      </w:r>
    </w:p>
    <w:p w14:paraId="5FA8358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bookmarkStart w:id="75" w:name="heading_79"/>
      <w:r>
        <w:rPr>
          <w:rFonts w:hint="default" w:ascii="Times New Roman" w:hAnsi="Times New Roman" w:eastAsia="黑体" w:cs="Times New Roman"/>
          <w:sz w:val="32"/>
          <w:szCs w:val="32"/>
          <w:lang w:eastAsia="zh-CN"/>
        </w:rPr>
        <w:t>二、</w:t>
      </w:r>
      <w:r>
        <w:rPr>
          <w:rFonts w:hint="default" w:ascii="Times New Roman" w:hAnsi="Times New Roman" w:eastAsia="黑体" w:cs="Times New Roman"/>
          <w:sz w:val="32"/>
          <w:szCs w:val="32"/>
        </w:rPr>
        <w:t>肃南县社会环境概况</w:t>
      </w:r>
      <w:bookmarkEnd w:id="75"/>
    </w:p>
    <w:p w14:paraId="15D13D9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sz w:val="32"/>
          <w:szCs w:val="32"/>
          <w:lang w:val="en-US" w:eastAsia="zh-CN"/>
        </w:rPr>
      </w:pPr>
      <w:bookmarkStart w:id="76" w:name="heading_80"/>
      <w:r>
        <w:rPr>
          <w:rFonts w:hint="default" w:ascii="Times New Roman" w:hAnsi="Times New Roman" w:eastAsia="楷体_GB2312" w:cs="Times New Roman"/>
          <w:sz w:val="32"/>
          <w:szCs w:val="32"/>
          <w:lang w:val="en-US" w:eastAsia="zh-CN"/>
        </w:rPr>
        <w:t>（一）行政区划和人口</w:t>
      </w:r>
      <w:bookmarkEnd w:id="76"/>
    </w:p>
    <w:p w14:paraId="5B6E11C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肃南县成立于1954年，全县辖</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乡</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镇（红湾寺镇、皇城镇、明花</w:t>
      </w:r>
      <w:r>
        <w:rPr>
          <w:rFonts w:hint="eastAsia" w:ascii="Times New Roman" w:hAnsi="Times New Roman" w:eastAsia="仿宋_GB2312" w:cs="Times New Roman"/>
          <w:sz w:val="32"/>
          <w:szCs w:val="32"/>
          <w:lang w:eastAsia="zh-CN"/>
        </w:rPr>
        <w:t>镇</w:t>
      </w:r>
      <w:r>
        <w:rPr>
          <w:rFonts w:hint="default" w:ascii="Times New Roman" w:hAnsi="Times New Roman" w:eastAsia="仿宋_GB2312" w:cs="Times New Roman"/>
          <w:sz w:val="32"/>
          <w:szCs w:val="32"/>
        </w:rPr>
        <w:t>、康乐镇、马蹄藏族乡、白银蒙古族乡、大河乡、祁丰藏族乡）、3个国有林牧场和102个行政村，有裕固、藏、蒙古、回、汉、土等2</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个民族。截至2020年，肃南县共有</w:t>
      </w:r>
      <w:r>
        <w:rPr>
          <w:rFonts w:hint="default" w:ascii="Times New Roman" w:hAnsi="Times New Roman" w:eastAsia="仿宋_GB2312" w:cs="Times New Roman"/>
          <w:sz w:val="32"/>
          <w:szCs w:val="32"/>
          <w:lang w:val="en-US" w:eastAsia="zh-CN"/>
        </w:rPr>
        <w:t>38411</w:t>
      </w:r>
      <w:r>
        <w:rPr>
          <w:rFonts w:hint="default" w:ascii="Times New Roman" w:hAnsi="Times New Roman" w:eastAsia="仿宋_GB2312" w:cs="Times New Roman"/>
          <w:sz w:val="32"/>
          <w:szCs w:val="32"/>
        </w:rPr>
        <w:t>人。</w:t>
      </w:r>
    </w:p>
    <w:p w14:paraId="3B441AB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肃南县各乡镇人口分布情况与密度见表1。</w:t>
      </w:r>
    </w:p>
    <w:p w14:paraId="423B8B54">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p w14:paraId="05C2A31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表1 肃南县乡镇行政区划分布及情况一览表</w:t>
      </w:r>
    </w:p>
    <w:tbl>
      <w:tblPr>
        <w:tblStyle w:val="3"/>
        <w:tblW w:w="0" w:type="auto"/>
        <w:tblInd w:w="0" w:type="dxa"/>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fixed"/>
        <w:tblCellMar>
          <w:top w:w="0" w:type="dxa"/>
          <w:left w:w="10" w:type="dxa"/>
          <w:bottom w:w="0" w:type="dxa"/>
          <w:right w:w="10" w:type="dxa"/>
        </w:tblCellMar>
      </w:tblPr>
      <w:tblGrid>
        <w:gridCol w:w="750"/>
        <w:gridCol w:w="2253"/>
        <w:gridCol w:w="1260"/>
        <w:gridCol w:w="1577"/>
        <w:gridCol w:w="2425"/>
      </w:tblGrid>
      <w:tr w14:paraId="71C8558A">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75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E49EF6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序号</w:t>
            </w:r>
          </w:p>
        </w:tc>
        <w:tc>
          <w:tcPr>
            <w:tcW w:w="2253"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2C530E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乡镇名称</w:t>
            </w:r>
          </w:p>
        </w:tc>
        <w:tc>
          <w:tcPr>
            <w:tcW w:w="12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9825A7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人口（人）</w:t>
            </w:r>
          </w:p>
        </w:tc>
        <w:tc>
          <w:tcPr>
            <w:tcW w:w="1577"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71124AC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面积（km</w:t>
            </w:r>
            <w:r>
              <w:rPr>
                <w:rFonts w:hint="default" w:ascii="Times New Roman" w:hAnsi="Times New Roman" w:eastAsia="仿宋_GB2312" w:cs="Times New Roman"/>
                <w:sz w:val="32"/>
                <w:szCs w:val="32"/>
                <w:vertAlign w:val="superscript"/>
              </w:rPr>
              <w:t>2</w:t>
            </w:r>
            <w:r>
              <w:rPr>
                <w:rFonts w:hint="default" w:ascii="Times New Roman" w:hAnsi="Times New Roman" w:eastAsia="仿宋_GB2312" w:cs="Times New Roman"/>
                <w:sz w:val="32"/>
                <w:szCs w:val="32"/>
              </w:rPr>
              <w:t>）</w:t>
            </w:r>
          </w:p>
        </w:tc>
        <w:tc>
          <w:tcPr>
            <w:tcW w:w="242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9BB81E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下辖行政单位</w:t>
            </w:r>
          </w:p>
        </w:tc>
      </w:tr>
      <w:tr w14:paraId="40D5B454">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75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70A6F3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p>
        </w:tc>
        <w:tc>
          <w:tcPr>
            <w:tcW w:w="2253"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63115E7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红湾寺镇</w:t>
            </w:r>
          </w:p>
        </w:tc>
        <w:tc>
          <w:tcPr>
            <w:tcW w:w="12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D324E2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9360</w:t>
            </w:r>
          </w:p>
        </w:tc>
        <w:tc>
          <w:tcPr>
            <w:tcW w:w="1577"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9DE61E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5.13</w:t>
            </w:r>
          </w:p>
        </w:tc>
        <w:tc>
          <w:tcPr>
            <w:tcW w:w="242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6A56722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3个社区</w:t>
            </w:r>
          </w:p>
        </w:tc>
      </w:tr>
      <w:tr w14:paraId="3A47BE50">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75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72B6545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w:t>
            </w:r>
          </w:p>
        </w:tc>
        <w:tc>
          <w:tcPr>
            <w:tcW w:w="2253"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4B5738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皇城镇</w:t>
            </w:r>
          </w:p>
        </w:tc>
        <w:tc>
          <w:tcPr>
            <w:tcW w:w="12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7B76A0D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8845</w:t>
            </w:r>
          </w:p>
        </w:tc>
        <w:tc>
          <w:tcPr>
            <w:tcW w:w="1577"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8C5637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1360.72</w:t>
            </w:r>
          </w:p>
        </w:tc>
        <w:tc>
          <w:tcPr>
            <w:tcW w:w="242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75BBC9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18个行政村</w:t>
            </w:r>
          </w:p>
        </w:tc>
      </w:tr>
      <w:tr w14:paraId="6F389F7B">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75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635D99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w:t>
            </w:r>
          </w:p>
        </w:tc>
        <w:tc>
          <w:tcPr>
            <w:tcW w:w="2253"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BB2D46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康乐镇</w:t>
            </w:r>
          </w:p>
        </w:tc>
        <w:tc>
          <w:tcPr>
            <w:tcW w:w="12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20199A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3828</w:t>
            </w:r>
          </w:p>
        </w:tc>
        <w:tc>
          <w:tcPr>
            <w:tcW w:w="1577"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BDBEAA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1604.72</w:t>
            </w:r>
          </w:p>
        </w:tc>
        <w:tc>
          <w:tcPr>
            <w:tcW w:w="242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ABBBDE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13个行政村</w:t>
            </w:r>
          </w:p>
        </w:tc>
      </w:tr>
      <w:tr w14:paraId="1159BCA9">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75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1A64D0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w:t>
            </w:r>
          </w:p>
        </w:tc>
        <w:tc>
          <w:tcPr>
            <w:tcW w:w="2253"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542198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马蹄藏族乡</w:t>
            </w:r>
          </w:p>
        </w:tc>
        <w:tc>
          <w:tcPr>
            <w:tcW w:w="12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602A2AD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4788</w:t>
            </w:r>
          </w:p>
        </w:tc>
        <w:tc>
          <w:tcPr>
            <w:tcW w:w="1577"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BE08D7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1897</w:t>
            </w:r>
          </w:p>
        </w:tc>
        <w:tc>
          <w:tcPr>
            <w:tcW w:w="242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315472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23个行政村</w:t>
            </w:r>
          </w:p>
        </w:tc>
      </w:tr>
      <w:tr w14:paraId="3250DBF1">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75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D11DFF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w:t>
            </w:r>
          </w:p>
        </w:tc>
        <w:tc>
          <w:tcPr>
            <w:tcW w:w="2253"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5D07B1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白银蒙古族乡</w:t>
            </w:r>
          </w:p>
        </w:tc>
        <w:tc>
          <w:tcPr>
            <w:tcW w:w="12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01BC67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6</w:t>
            </w:r>
            <w:r>
              <w:rPr>
                <w:rFonts w:hint="default" w:ascii="Times New Roman" w:hAnsi="Times New Roman" w:eastAsia="仿宋_GB2312" w:cs="Times New Roman"/>
                <w:sz w:val="32"/>
                <w:szCs w:val="32"/>
                <w:lang w:val="en-US" w:eastAsia="zh-CN"/>
              </w:rPr>
              <w:t>96</w:t>
            </w:r>
          </w:p>
        </w:tc>
        <w:tc>
          <w:tcPr>
            <w:tcW w:w="1577"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1A51E9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400.33</w:t>
            </w:r>
          </w:p>
        </w:tc>
        <w:tc>
          <w:tcPr>
            <w:tcW w:w="242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6726764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3个行政村</w:t>
            </w:r>
          </w:p>
        </w:tc>
      </w:tr>
      <w:tr w14:paraId="096F1E3D">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75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036176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w:t>
            </w:r>
          </w:p>
        </w:tc>
        <w:tc>
          <w:tcPr>
            <w:tcW w:w="2253"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613DBC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明花</w:t>
            </w:r>
            <w:r>
              <w:rPr>
                <w:rFonts w:hint="eastAsia" w:ascii="Times New Roman" w:hAnsi="Times New Roman" w:eastAsia="仿宋_GB2312" w:cs="Times New Roman"/>
                <w:sz w:val="32"/>
                <w:szCs w:val="32"/>
                <w:lang w:eastAsia="zh-CN"/>
              </w:rPr>
              <w:t>镇</w:t>
            </w:r>
          </w:p>
        </w:tc>
        <w:tc>
          <w:tcPr>
            <w:tcW w:w="12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47D5D6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37</w:t>
            </w:r>
            <w:r>
              <w:rPr>
                <w:rFonts w:hint="default" w:ascii="Times New Roman" w:hAnsi="Times New Roman" w:eastAsia="仿宋_GB2312" w:cs="Times New Roman"/>
                <w:sz w:val="32"/>
                <w:szCs w:val="32"/>
                <w:lang w:val="en-US" w:eastAsia="zh-CN"/>
              </w:rPr>
              <w:t>87</w:t>
            </w:r>
          </w:p>
        </w:tc>
        <w:tc>
          <w:tcPr>
            <w:tcW w:w="1577"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1A2F9D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1317.11</w:t>
            </w:r>
          </w:p>
        </w:tc>
        <w:tc>
          <w:tcPr>
            <w:tcW w:w="242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5D08B7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14个行政村</w:t>
            </w:r>
          </w:p>
        </w:tc>
      </w:tr>
      <w:tr w14:paraId="424F1FFE">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75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3CEED5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w:t>
            </w:r>
          </w:p>
        </w:tc>
        <w:tc>
          <w:tcPr>
            <w:tcW w:w="2253"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2B3DA0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祁丰藏族乡</w:t>
            </w:r>
          </w:p>
        </w:tc>
        <w:tc>
          <w:tcPr>
            <w:tcW w:w="12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818D98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3265</w:t>
            </w:r>
          </w:p>
        </w:tc>
        <w:tc>
          <w:tcPr>
            <w:tcW w:w="1577"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4B3F4F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8540.74</w:t>
            </w:r>
          </w:p>
        </w:tc>
        <w:tc>
          <w:tcPr>
            <w:tcW w:w="242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E011C8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13个行政村</w:t>
            </w:r>
          </w:p>
        </w:tc>
      </w:tr>
      <w:tr w14:paraId="281A0AC5">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75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661D98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8</w:t>
            </w:r>
          </w:p>
        </w:tc>
        <w:tc>
          <w:tcPr>
            <w:tcW w:w="2253"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35C2A6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大河乡</w:t>
            </w:r>
          </w:p>
        </w:tc>
        <w:tc>
          <w:tcPr>
            <w:tcW w:w="126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5C5AF7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3842</w:t>
            </w:r>
          </w:p>
        </w:tc>
        <w:tc>
          <w:tcPr>
            <w:tcW w:w="1577"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4005FE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2967.8</w:t>
            </w:r>
          </w:p>
        </w:tc>
        <w:tc>
          <w:tcPr>
            <w:tcW w:w="242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DBD294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18个行政村</w:t>
            </w:r>
          </w:p>
        </w:tc>
      </w:tr>
    </w:tbl>
    <w:p w14:paraId="0880E8D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sz w:val="32"/>
          <w:szCs w:val="32"/>
          <w:lang w:val="en-US" w:eastAsia="zh-CN"/>
        </w:rPr>
      </w:pPr>
      <w:bookmarkStart w:id="77" w:name="heading_81"/>
      <w:r>
        <w:rPr>
          <w:rFonts w:hint="default" w:ascii="Times New Roman" w:hAnsi="Times New Roman" w:eastAsia="楷体_GB2312" w:cs="Times New Roman"/>
          <w:sz w:val="32"/>
          <w:szCs w:val="32"/>
          <w:lang w:val="en-US" w:eastAsia="zh-CN"/>
        </w:rPr>
        <w:t>（二）经济发展概况</w:t>
      </w:r>
      <w:bookmarkEnd w:id="77"/>
    </w:p>
    <w:p w14:paraId="3548D7D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bookmarkStart w:id="78" w:name="heading_82"/>
      <w:r>
        <w:rPr>
          <w:rFonts w:hint="default" w:ascii="Times New Roman" w:hAnsi="Times New Roman" w:eastAsia="仿宋_GB2312" w:cs="Times New Roman"/>
          <w:sz w:val="32"/>
          <w:szCs w:val="32"/>
        </w:rPr>
        <w:t>2025年，肃南县实现地区生产总值47.11亿元，同比增长7.8%。其中：第一产业增加值9.24亿元，增长5.9%；第二产业增加值21.09亿元，增长9.6%；第三产业增加值16.78亿元，增长7.0%。全年实现工业增加值17.71亿元，增长11.1%。其中规模以上工业增加值12.38亿元，增长10.4%。</w:t>
      </w:r>
    </w:p>
    <w:p w14:paraId="6B11D22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（三）教育、卫生、体育设施</w:t>
      </w:r>
      <w:bookmarkEnd w:id="78"/>
    </w:p>
    <w:p w14:paraId="732F5CE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bookmarkStart w:id="79" w:name="heading_84"/>
      <w:r>
        <w:rPr>
          <w:rFonts w:hint="default" w:ascii="Times New Roman" w:hAnsi="Times New Roman" w:eastAsia="仿宋_GB2312" w:cs="Times New Roman"/>
          <w:sz w:val="32"/>
          <w:szCs w:val="32"/>
          <w:lang w:eastAsia="zh-CN"/>
        </w:rPr>
        <w:t>1.教育设施</w:t>
      </w:r>
    </w:p>
    <w:p w14:paraId="539771B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根据2025年最新数据，肃南县有各级各类学校18所，其中普通高中1所、中等职业学校1所、初级中学1所、九年一贯制学校4所，城镇小学1所、乡村小学2所，城镇幼儿园1所、乡镇幼儿园5所、村幼儿园2所。在校学生2748名，其中普通高中428名、中等职业学校学生67名、初中生567名、小学生1182名，在园幼儿504名。在岗教职工546名，其中专任教师404名。</w:t>
      </w:r>
    </w:p>
    <w:p w14:paraId="2879E33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2.卫生设施</w:t>
      </w:r>
    </w:p>
    <w:p w14:paraId="0A21086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肃南县有医疗机构43个，其中县级医疗卫生机构4个、乡镇卫生院7个（包括祁青地区卫生院）、乡镇卫生分院1个、村卫生室30个，1家二甲级医院，1家二乙级医院。核定床位404张，实有床位251张，每千人常住人口拥有床位9张，</w:t>
      </w:r>
      <w:r>
        <w:rPr>
          <w:rFonts w:hint="default" w:ascii="Times New Roman" w:hAnsi="Times New Roman" w:eastAsia="仿宋_GB2312" w:cs="Times New Roman"/>
          <w:sz w:val="32"/>
          <w:szCs w:val="32"/>
          <w:lang w:val="en-US" w:eastAsia="zh-CN"/>
        </w:rPr>
        <w:t>核定编制数305 名，在编在岗313 人</w:t>
      </w:r>
      <w:r>
        <w:rPr>
          <w:rFonts w:hint="default" w:ascii="Times New Roman" w:hAnsi="Times New Roman" w:eastAsia="仿宋_GB2312" w:cs="Times New Roman"/>
          <w:sz w:val="32"/>
          <w:szCs w:val="32"/>
          <w:lang w:eastAsia="zh-CN"/>
        </w:rPr>
        <w:t>，有卫生专业技术人员268名，占总人数的94.7%。县级医疗机构分级诊疗病种达到250种，乡级医疗机构分级诊疗病种达到50种。全县建成检验、影像、心电、消毒供应4个县域医学中心和胸痛、卒中、创伤、危重孕产妇、危重新生儿/儿童5个救治中心。</w:t>
      </w:r>
    </w:p>
    <w:p w14:paraId="78E62E8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3.体育设施</w:t>
      </w:r>
    </w:p>
    <w:p w14:paraId="1C0999D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目前，全县建有公共体育馆、体育场各1所、儿童游乐园1处、体育公园（广场）5个、乡镇（社区）体育健身中心7个、乡镇文体活动站8个，全县体育场占地面积45.08万平方米，人均占有面积达到12.46平方米，公共体育设施场地实现县域全覆盖。</w:t>
      </w:r>
    </w:p>
    <w:p w14:paraId="14BE0C3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4.旅游</w:t>
      </w:r>
    </w:p>
    <w:p w14:paraId="67E78BF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肃南县主要旅游景点有石窝会议纪念馆、文殊山石窟、裕固族民俗度假区、巴尔斯雪山、马蹄寺风景名胜区、白银乡东牛毛喀尔喀蒙古族特色村寨、长沟寺、祁连玉文化产业园（玉水苑）、中华裕固文化走廊旅游景区、冰沟丹霞旅游景区等。</w:t>
      </w:r>
    </w:p>
    <w:p w14:paraId="749C505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5.交通运输</w:t>
      </w:r>
    </w:p>
    <w:p w14:paraId="7A3B98A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全县公路总里程达到1855公里，建制村公路通畅率达到100%。</w:t>
      </w:r>
    </w:p>
    <w:p w14:paraId="32C3972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（四）肃南县发展定位及产业布局</w:t>
      </w:r>
    </w:p>
    <w:p w14:paraId="2744D87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贯彻落实新发展理念，坚定不移走“绿色+特色”的高质量发展之路，调整优化经济结构，重点向现代农牧业、循环工业、现代服务业、旅游业转变。突出甘肃高山细毛羊主导地位，把绿色有机农畜产品生产供给作为农牧业供给侧结构性改革的主攻方向，培育互联网+绿色畜牧业开发示范点。坚持以生态工业为取向，推进工业企业向园区集中，对不符合自然保护区功能定位的产业，通过“飞地建园”模式与周边县区合作发展。着力打造提升</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eastAsia="zh-CN"/>
        </w:rPr>
        <w:t>个国家4A旅游景区，促进旅游文化体育医养产业融合发展，带动第三产业快速健康发展。大力发展乡村旅游，集中培育旅游示范村和专业村，促进旅游产业提质增效。</w:t>
      </w:r>
    </w:p>
    <w:p w14:paraId="7E0F3B4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立足天然绿色生态优势，积极发展生态循环农牧业；立足旅游资源优势，做大做强文化旅游产业；立足健康养身体系建设，发展壮大中医中药产业；立足交通枢纽体系建设，巩固拓展通道物流产业；立足新能源示范区建设，持续优化清洁能源产业；立足区域综合环境治理，加快培育节能环保产业；立足现代信息化建设，加快培育数据信息产业；立足完善军地协调机制，协同推进军民融合产业；立足产业集聚循环发展，着力提升清洁生产产业；立足绿色新兴产业，优化升级先进制造产业。2021年9月8日，肃南县入选国家能源局综合司整县（市、区）屋顶分布式光伏开发试点名单。</w:t>
      </w:r>
    </w:p>
    <w:p w14:paraId="1EF8137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lang w:eastAsia="zh-CN"/>
        </w:rPr>
        <w:t>三、</w:t>
      </w:r>
      <w:r>
        <w:rPr>
          <w:rFonts w:hint="default" w:ascii="Times New Roman" w:hAnsi="Times New Roman" w:eastAsia="黑体" w:cs="Times New Roman"/>
          <w:sz w:val="32"/>
          <w:szCs w:val="32"/>
        </w:rPr>
        <w:t>环境功能区划与环境质量现状</w:t>
      </w:r>
      <w:bookmarkEnd w:id="79"/>
    </w:p>
    <w:p w14:paraId="2D9478E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sz w:val="32"/>
          <w:szCs w:val="32"/>
          <w:lang w:val="en-US" w:eastAsia="zh-CN"/>
        </w:rPr>
      </w:pPr>
      <w:bookmarkStart w:id="80" w:name="heading_85"/>
      <w:r>
        <w:rPr>
          <w:rFonts w:hint="default" w:ascii="Times New Roman" w:hAnsi="Times New Roman" w:eastAsia="楷体_GB2312" w:cs="Times New Roman"/>
          <w:sz w:val="32"/>
          <w:szCs w:val="32"/>
          <w:lang w:val="en-US" w:eastAsia="zh-CN"/>
        </w:rPr>
        <w:t>（一）环境功能区划</w:t>
      </w:r>
      <w:bookmarkEnd w:id="80"/>
    </w:p>
    <w:p w14:paraId="2C0055C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大气环境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按照《环境空气质量标准》（GB3095-2012）有关规定，肃南县环境空气功能区为</w:t>
      </w:r>
      <w:r>
        <w:rPr>
          <w:rFonts w:hint="default" w:ascii="Times New Roman" w:hAnsi="Times New Roman" w:eastAsia="仿宋_GB2312" w:cs="Times New Roman"/>
          <w:sz w:val="32"/>
          <w:szCs w:val="32"/>
          <w:lang w:eastAsia="zh-CN"/>
        </w:rPr>
        <w:t>两类</w:t>
      </w:r>
      <w:r>
        <w:rPr>
          <w:rFonts w:hint="default" w:ascii="Times New Roman" w:hAnsi="Times New Roman" w:eastAsia="仿宋_GB2312" w:cs="Times New Roman"/>
          <w:sz w:val="32"/>
          <w:szCs w:val="32"/>
        </w:rPr>
        <w:t>：一类为自然保护区、风景名胜区和其他需要特殊保护的区域；二类区为居住区、商业交通居民混合区、文化区、工业区和农村地区。</w:t>
      </w:r>
    </w:p>
    <w:p w14:paraId="182A705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地表水</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根据《地表水环境质量标准》（GB3838-2002）及甘肃省人民政府批复的《甘肃省地表水功能区划（2012</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2030年）》（2013.1）的有关规定，肃南县境内地表水体执行环境区划及标准如表</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所示。</w:t>
      </w:r>
    </w:p>
    <w:p w14:paraId="213573F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集中式生活饮用水水源</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肃南县县级城市集中式生活饮用水源为肃南县东柳沟水源（河流型）属于地表水水源，根据《地表水环境质量标准》（GB3838-2002）中水域功能和标准分类规定及甘肃省人民政府批复的《甘肃省地表水功能区划（2012</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2030年）》（2013.1）的有关规定，肃南县地表水水源地分满足Ⅱ类水质标准。</w:t>
      </w:r>
    </w:p>
    <w:p w14:paraId="788B52B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地下水</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肃南县地下水功能为生活饮用水及</w:t>
      </w:r>
      <w:r>
        <w:rPr>
          <w:rFonts w:hint="default" w:ascii="Times New Roman" w:hAnsi="Times New Roman" w:eastAsia="仿宋_GB2312" w:cs="Times New Roman"/>
          <w:sz w:val="32"/>
          <w:szCs w:val="32"/>
          <w:lang w:eastAsia="zh-CN"/>
        </w:rPr>
        <w:t>工业</w:t>
      </w:r>
      <w:r>
        <w:rPr>
          <w:rFonts w:hint="default" w:ascii="Times New Roman" w:hAnsi="Times New Roman" w:eastAsia="仿宋_GB2312" w:cs="Times New Roman"/>
          <w:sz w:val="32"/>
          <w:szCs w:val="32"/>
        </w:rPr>
        <w:t>、农业用水，以人体健康基准为依据，根据《地下水质量标准》（GB/T14848-2017）中地下水质量分类规定，地下水质量类别为Ⅲ类。</w:t>
      </w:r>
    </w:p>
    <w:p w14:paraId="0A8B2FC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bookmarkStart w:id="81" w:name="heading_86"/>
      <w:r>
        <w:rPr>
          <w:rFonts w:hint="default" w:ascii="Times New Roman" w:hAnsi="Times New Roman" w:eastAsia="仿宋_GB2312" w:cs="Times New Roman"/>
          <w:sz w:val="32"/>
          <w:szCs w:val="32"/>
        </w:rPr>
        <w:t>移动风险源</w:t>
      </w:r>
      <w:bookmarkEnd w:id="81"/>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肃南县企业的原料和产品运输方式主要为道路运输，环境风险物质在运输中受外界温度、压力影响或交通事故影响等会造成气体扩散、液体</w:t>
      </w:r>
      <w:r>
        <w:rPr>
          <w:rFonts w:hint="default" w:ascii="Times New Roman" w:hAnsi="Times New Roman" w:eastAsia="仿宋_GB2312" w:cs="Times New Roman"/>
          <w:sz w:val="32"/>
          <w:szCs w:val="32"/>
          <w:lang w:eastAsia="zh-CN"/>
        </w:rPr>
        <w:t>泄漏</w:t>
      </w:r>
      <w:r>
        <w:rPr>
          <w:rFonts w:hint="default" w:ascii="Times New Roman" w:hAnsi="Times New Roman" w:eastAsia="仿宋_GB2312" w:cs="Times New Roman"/>
          <w:sz w:val="32"/>
          <w:szCs w:val="32"/>
        </w:rPr>
        <w:t>、固体散落，出现程度不同的渗漏，甚至可能引起火灾、爆炸或污染环境等事故，对运输路线两侧的自然、社会环境以及人体健康造成不同程度的危害和损伤。</w:t>
      </w:r>
    </w:p>
    <w:p w14:paraId="427B3CB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sz w:val="32"/>
          <w:szCs w:val="32"/>
          <w:lang w:val="en-US" w:eastAsia="zh-CN"/>
        </w:rPr>
      </w:pPr>
      <w:bookmarkStart w:id="82" w:name="heading_87"/>
      <w:r>
        <w:rPr>
          <w:rFonts w:hint="default" w:ascii="Times New Roman" w:hAnsi="Times New Roman" w:eastAsia="楷体_GB2312" w:cs="Times New Roman"/>
          <w:sz w:val="32"/>
          <w:szCs w:val="32"/>
          <w:lang w:val="en-US" w:eastAsia="zh-CN"/>
        </w:rPr>
        <w:t>（二）涉及环境风险物质运输的道路</w:t>
      </w:r>
      <w:bookmarkEnd w:id="82"/>
    </w:p>
    <w:p w14:paraId="0B52248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张掖市交通运输局以及县生态环境分局提供的资料，肃南县暂未规划环境风险物质专用运输路线，企业涉及环境风险物质运输的行为均委托第三方进行危险化学品运输。肃南县行政区域内现有涉及环境风险物质运输道路风险源基本情况统计见表</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w:t>
      </w:r>
    </w:p>
    <w:p w14:paraId="684A291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p w14:paraId="05535BB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p w14:paraId="045AD13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p w14:paraId="2EEB963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p w14:paraId="0290ED0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 xml:space="preserve"> 肃南县主要涉及风险</w:t>
      </w:r>
      <w:r>
        <w:rPr>
          <w:rFonts w:hint="default" w:ascii="Times New Roman" w:hAnsi="Times New Roman" w:eastAsia="仿宋_GB2312" w:cs="Times New Roman"/>
          <w:sz w:val="32"/>
          <w:szCs w:val="32"/>
          <w:lang w:eastAsia="zh-CN"/>
        </w:rPr>
        <w:t>物资</w:t>
      </w:r>
      <w:r>
        <w:rPr>
          <w:rFonts w:hint="default" w:ascii="Times New Roman" w:hAnsi="Times New Roman" w:eastAsia="仿宋_GB2312" w:cs="Times New Roman"/>
          <w:sz w:val="32"/>
          <w:szCs w:val="32"/>
        </w:rPr>
        <w:t>运输过境道路情况表</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420"/>
        <w:gridCol w:w="1084"/>
        <w:gridCol w:w="1936"/>
        <w:gridCol w:w="1923"/>
        <w:gridCol w:w="1522"/>
        <w:gridCol w:w="1380"/>
      </w:tblGrid>
      <w:tr w14:paraId="79885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20" w:type="dxa"/>
            <w:tcMar>
              <w:top w:w="60" w:type="dxa"/>
              <w:left w:w="120" w:type="dxa"/>
              <w:bottom w:w="30" w:type="dxa"/>
              <w:right w:w="120" w:type="dxa"/>
            </w:tcMar>
            <w:vAlign w:val="center"/>
          </w:tcPr>
          <w:p w14:paraId="69A88A8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序号</w:t>
            </w:r>
          </w:p>
        </w:tc>
        <w:tc>
          <w:tcPr>
            <w:tcW w:w="1084" w:type="dxa"/>
            <w:tcMar>
              <w:top w:w="60" w:type="dxa"/>
              <w:left w:w="120" w:type="dxa"/>
              <w:bottom w:w="30" w:type="dxa"/>
              <w:right w:w="120" w:type="dxa"/>
            </w:tcMar>
            <w:vAlign w:val="center"/>
          </w:tcPr>
          <w:p w14:paraId="4A9527C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路线编号</w:t>
            </w:r>
          </w:p>
        </w:tc>
        <w:tc>
          <w:tcPr>
            <w:tcW w:w="1936" w:type="dxa"/>
            <w:tcMar>
              <w:top w:w="60" w:type="dxa"/>
              <w:left w:w="120" w:type="dxa"/>
              <w:bottom w:w="30" w:type="dxa"/>
              <w:right w:w="120" w:type="dxa"/>
            </w:tcMar>
            <w:vAlign w:val="center"/>
          </w:tcPr>
          <w:p w14:paraId="14AC49C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路线名称</w:t>
            </w:r>
          </w:p>
        </w:tc>
        <w:tc>
          <w:tcPr>
            <w:tcW w:w="1923" w:type="dxa"/>
            <w:tcMar>
              <w:top w:w="60" w:type="dxa"/>
              <w:left w:w="120" w:type="dxa"/>
              <w:bottom w:w="30" w:type="dxa"/>
              <w:right w:w="120" w:type="dxa"/>
            </w:tcMar>
            <w:vAlign w:val="center"/>
          </w:tcPr>
          <w:p w14:paraId="6ED3D47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道路类型</w:t>
            </w:r>
          </w:p>
        </w:tc>
        <w:tc>
          <w:tcPr>
            <w:tcW w:w="1522" w:type="dxa"/>
            <w:tcMar>
              <w:top w:w="60" w:type="dxa"/>
              <w:left w:w="120" w:type="dxa"/>
              <w:bottom w:w="30" w:type="dxa"/>
              <w:right w:w="120" w:type="dxa"/>
            </w:tcMar>
            <w:vAlign w:val="center"/>
          </w:tcPr>
          <w:p w14:paraId="15D922A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可能造成的突发生态环境事件级别</w:t>
            </w:r>
          </w:p>
        </w:tc>
        <w:tc>
          <w:tcPr>
            <w:tcW w:w="1380" w:type="dxa"/>
            <w:tcMar>
              <w:top w:w="60" w:type="dxa"/>
              <w:left w:w="120" w:type="dxa"/>
              <w:bottom w:w="30" w:type="dxa"/>
              <w:right w:w="120" w:type="dxa"/>
            </w:tcMar>
            <w:vAlign w:val="center"/>
          </w:tcPr>
          <w:p w14:paraId="108D5AE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近五年突发生态环境事件发生数量</w:t>
            </w:r>
          </w:p>
        </w:tc>
      </w:tr>
      <w:tr w14:paraId="35FD0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20" w:type="dxa"/>
            <w:tcMar>
              <w:top w:w="60" w:type="dxa"/>
              <w:left w:w="120" w:type="dxa"/>
              <w:bottom w:w="30" w:type="dxa"/>
              <w:right w:w="120" w:type="dxa"/>
            </w:tcMar>
            <w:vAlign w:val="center"/>
          </w:tcPr>
          <w:p w14:paraId="55E9A13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p>
        </w:tc>
        <w:tc>
          <w:tcPr>
            <w:tcW w:w="1084" w:type="dxa"/>
            <w:tcMar>
              <w:top w:w="60" w:type="dxa"/>
              <w:left w:w="120" w:type="dxa"/>
              <w:bottom w:w="30" w:type="dxa"/>
              <w:right w:w="120" w:type="dxa"/>
            </w:tcMar>
            <w:vAlign w:val="center"/>
          </w:tcPr>
          <w:p w14:paraId="34D0868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G213</w:t>
            </w:r>
          </w:p>
        </w:tc>
        <w:tc>
          <w:tcPr>
            <w:tcW w:w="1936" w:type="dxa"/>
            <w:tcMar>
              <w:top w:w="60" w:type="dxa"/>
              <w:left w:w="120" w:type="dxa"/>
              <w:bottom w:w="30" w:type="dxa"/>
              <w:right w:w="120" w:type="dxa"/>
            </w:tcMar>
            <w:vAlign w:val="center"/>
          </w:tcPr>
          <w:p w14:paraId="571C1EE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策克-磨憨（125.387）</w:t>
            </w:r>
          </w:p>
        </w:tc>
        <w:tc>
          <w:tcPr>
            <w:tcW w:w="1923" w:type="dxa"/>
            <w:tcMar>
              <w:top w:w="60" w:type="dxa"/>
              <w:left w:w="120" w:type="dxa"/>
              <w:bottom w:w="30" w:type="dxa"/>
              <w:right w:w="120" w:type="dxa"/>
            </w:tcMar>
            <w:vAlign w:val="center"/>
          </w:tcPr>
          <w:p w14:paraId="2724FAF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国道（张掖肃南至青海祁连二级公路在建中）</w:t>
            </w:r>
          </w:p>
        </w:tc>
        <w:tc>
          <w:tcPr>
            <w:tcW w:w="1522" w:type="dxa"/>
            <w:tcMar>
              <w:top w:w="60" w:type="dxa"/>
              <w:left w:w="120" w:type="dxa"/>
              <w:bottom w:w="30" w:type="dxa"/>
              <w:right w:w="120" w:type="dxa"/>
            </w:tcMar>
            <w:vAlign w:val="center"/>
          </w:tcPr>
          <w:p w14:paraId="6BFCE04D">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一般突发生态环境事件</w:t>
            </w:r>
          </w:p>
        </w:tc>
        <w:tc>
          <w:tcPr>
            <w:tcW w:w="1380" w:type="dxa"/>
            <w:tcMar>
              <w:top w:w="60" w:type="dxa"/>
              <w:left w:w="120" w:type="dxa"/>
              <w:bottom w:w="30" w:type="dxa"/>
              <w:right w:w="120" w:type="dxa"/>
            </w:tcMar>
            <w:vAlign w:val="center"/>
          </w:tcPr>
          <w:p w14:paraId="6A83AAC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无</w:t>
            </w:r>
          </w:p>
        </w:tc>
      </w:tr>
      <w:tr w14:paraId="48336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419" w:hRule="atLeast"/>
        </w:trPr>
        <w:tc>
          <w:tcPr>
            <w:tcW w:w="420" w:type="dxa"/>
            <w:tcMar>
              <w:top w:w="60" w:type="dxa"/>
              <w:left w:w="120" w:type="dxa"/>
              <w:bottom w:w="30" w:type="dxa"/>
              <w:right w:w="120" w:type="dxa"/>
            </w:tcMar>
            <w:vAlign w:val="center"/>
          </w:tcPr>
          <w:p w14:paraId="7266E73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w:t>
            </w:r>
          </w:p>
        </w:tc>
        <w:tc>
          <w:tcPr>
            <w:tcW w:w="1084" w:type="dxa"/>
            <w:tcMar>
              <w:top w:w="60" w:type="dxa"/>
              <w:left w:w="120" w:type="dxa"/>
              <w:bottom w:w="30" w:type="dxa"/>
              <w:right w:w="120" w:type="dxa"/>
            </w:tcMar>
            <w:vAlign w:val="center"/>
          </w:tcPr>
          <w:p w14:paraId="5F2DC3F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S213</w:t>
            </w:r>
          </w:p>
        </w:tc>
        <w:tc>
          <w:tcPr>
            <w:tcW w:w="1936" w:type="dxa"/>
            <w:tcMar>
              <w:top w:w="60" w:type="dxa"/>
              <w:left w:w="120" w:type="dxa"/>
              <w:bottom w:w="30" w:type="dxa"/>
              <w:right w:w="120" w:type="dxa"/>
            </w:tcMar>
            <w:vAlign w:val="center"/>
          </w:tcPr>
          <w:p w14:paraId="01C7678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张掖市</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肃南县</w:t>
            </w:r>
          </w:p>
        </w:tc>
        <w:tc>
          <w:tcPr>
            <w:tcW w:w="1923" w:type="dxa"/>
            <w:tcMar>
              <w:top w:w="60" w:type="dxa"/>
              <w:left w:w="120" w:type="dxa"/>
              <w:bottom w:w="30" w:type="dxa"/>
              <w:right w:w="120" w:type="dxa"/>
            </w:tcMar>
            <w:vAlign w:val="center"/>
          </w:tcPr>
          <w:p w14:paraId="37A5AF6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普通省道</w:t>
            </w:r>
          </w:p>
        </w:tc>
        <w:tc>
          <w:tcPr>
            <w:tcW w:w="1522" w:type="dxa"/>
            <w:tcMar>
              <w:top w:w="60" w:type="dxa"/>
              <w:left w:w="120" w:type="dxa"/>
              <w:bottom w:w="30" w:type="dxa"/>
              <w:right w:w="120" w:type="dxa"/>
            </w:tcMar>
            <w:vAlign w:val="center"/>
          </w:tcPr>
          <w:p w14:paraId="28AF6BBB">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一般突发生态环境事件</w:t>
            </w:r>
          </w:p>
        </w:tc>
        <w:tc>
          <w:tcPr>
            <w:tcW w:w="1380" w:type="dxa"/>
            <w:tcMar>
              <w:top w:w="60" w:type="dxa"/>
              <w:left w:w="120" w:type="dxa"/>
              <w:bottom w:w="30" w:type="dxa"/>
              <w:right w:w="120" w:type="dxa"/>
            </w:tcMar>
            <w:vAlign w:val="center"/>
          </w:tcPr>
          <w:p w14:paraId="40C8687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无</w:t>
            </w:r>
          </w:p>
        </w:tc>
      </w:tr>
      <w:tr w14:paraId="67625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20" w:type="dxa"/>
            <w:tcMar>
              <w:top w:w="60" w:type="dxa"/>
              <w:left w:w="120" w:type="dxa"/>
              <w:bottom w:w="30" w:type="dxa"/>
              <w:right w:w="120" w:type="dxa"/>
            </w:tcMar>
            <w:vAlign w:val="center"/>
          </w:tcPr>
          <w:p w14:paraId="129ABA5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w:t>
            </w:r>
          </w:p>
        </w:tc>
        <w:tc>
          <w:tcPr>
            <w:tcW w:w="1084" w:type="dxa"/>
            <w:tcMar>
              <w:top w:w="60" w:type="dxa"/>
              <w:left w:w="120" w:type="dxa"/>
              <w:bottom w:w="30" w:type="dxa"/>
              <w:right w:w="120" w:type="dxa"/>
            </w:tcMar>
            <w:vAlign w:val="center"/>
          </w:tcPr>
          <w:p w14:paraId="4D980F7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S301</w:t>
            </w:r>
          </w:p>
        </w:tc>
        <w:tc>
          <w:tcPr>
            <w:tcW w:w="1936" w:type="dxa"/>
            <w:tcMar>
              <w:top w:w="60" w:type="dxa"/>
              <w:left w:w="120" w:type="dxa"/>
              <w:bottom w:w="30" w:type="dxa"/>
              <w:right w:w="120" w:type="dxa"/>
            </w:tcMar>
            <w:vAlign w:val="center"/>
          </w:tcPr>
          <w:p w14:paraId="51DA5D6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九条岭</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瓜州（428.337）</w:t>
            </w:r>
          </w:p>
        </w:tc>
        <w:tc>
          <w:tcPr>
            <w:tcW w:w="1923" w:type="dxa"/>
            <w:tcMar>
              <w:top w:w="60" w:type="dxa"/>
              <w:left w:w="120" w:type="dxa"/>
              <w:bottom w:w="30" w:type="dxa"/>
              <w:right w:w="120" w:type="dxa"/>
            </w:tcMar>
            <w:vAlign w:val="center"/>
          </w:tcPr>
          <w:p w14:paraId="2B899E2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普通省道</w:t>
            </w:r>
          </w:p>
        </w:tc>
        <w:tc>
          <w:tcPr>
            <w:tcW w:w="1522" w:type="dxa"/>
            <w:tcMar>
              <w:top w:w="60" w:type="dxa"/>
              <w:left w:w="120" w:type="dxa"/>
              <w:bottom w:w="30" w:type="dxa"/>
              <w:right w:w="120" w:type="dxa"/>
            </w:tcMar>
            <w:vAlign w:val="center"/>
          </w:tcPr>
          <w:p w14:paraId="0635A7D9">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一般突发生态环境事件</w:t>
            </w:r>
          </w:p>
        </w:tc>
        <w:tc>
          <w:tcPr>
            <w:tcW w:w="1380" w:type="dxa"/>
            <w:tcMar>
              <w:top w:w="60" w:type="dxa"/>
              <w:left w:w="120" w:type="dxa"/>
              <w:bottom w:w="30" w:type="dxa"/>
              <w:right w:w="120" w:type="dxa"/>
            </w:tcMar>
            <w:vAlign w:val="center"/>
          </w:tcPr>
          <w:p w14:paraId="3DFF3DC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无</w:t>
            </w:r>
          </w:p>
        </w:tc>
      </w:tr>
      <w:tr w14:paraId="26DEF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20" w:type="dxa"/>
            <w:tcMar>
              <w:top w:w="60" w:type="dxa"/>
              <w:left w:w="120" w:type="dxa"/>
              <w:bottom w:w="30" w:type="dxa"/>
              <w:right w:w="120" w:type="dxa"/>
            </w:tcMar>
            <w:vAlign w:val="center"/>
          </w:tcPr>
          <w:p w14:paraId="67F51BC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w:t>
            </w:r>
          </w:p>
        </w:tc>
        <w:tc>
          <w:tcPr>
            <w:tcW w:w="1084" w:type="dxa"/>
            <w:tcMar>
              <w:top w:w="60" w:type="dxa"/>
              <w:left w:w="120" w:type="dxa"/>
              <w:bottom w:w="30" w:type="dxa"/>
              <w:right w:w="120" w:type="dxa"/>
            </w:tcMar>
            <w:vAlign w:val="center"/>
          </w:tcPr>
          <w:p w14:paraId="362964D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S215</w:t>
            </w:r>
          </w:p>
        </w:tc>
        <w:tc>
          <w:tcPr>
            <w:tcW w:w="1936" w:type="dxa"/>
            <w:tcMar>
              <w:top w:w="60" w:type="dxa"/>
              <w:left w:w="120" w:type="dxa"/>
              <w:bottom w:w="30" w:type="dxa"/>
              <w:right w:w="120" w:type="dxa"/>
            </w:tcMar>
            <w:vAlign w:val="center"/>
          </w:tcPr>
          <w:p w14:paraId="3FFCC5A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嘉峪关</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青海省二尕公路</w:t>
            </w:r>
          </w:p>
        </w:tc>
        <w:tc>
          <w:tcPr>
            <w:tcW w:w="1923" w:type="dxa"/>
            <w:tcMar>
              <w:top w:w="60" w:type="dxa"/>
              <w:left w:w="120" w:type="dxa"/>
              <w:bottom w:w="30" w:type="dxa"/>
              <w:right w:w="120" w:type="dxa"/>
            </w:tcMar>
            <w:vAlign w:val="center"/>
          </w:tcPr>
          <w:p w14:paraId="1FB6973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普通省道</w:t>
            </w:r>
          </w:p>
        </w:tc>
        <w:tc>
          <w:tcPr>
            <w:tcW w:w="1522" w:type="dxa"/>
            <w:tcMar>
              <w:top w:w="60" w:type="dxa"/>
              <w:left w:w="120" w:type="dxa"/>
              <w:bottom w:w="30" w:type="dxa"/>
              <w:right w:w="120" w:type="dxa"/>
            </w:tcMar>
            <w:vAlign w:val="center"/>
          </w:tcPr>
          <w:p w14:paraId="01FE913F">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一般突发生态环境事件</w:t>
            </w:r>
          </w:p>
        </w:tc>
        <w:tc>
          <w:tcPr>
            <w:tcW w:w="1380" w:type="dxa"/>
            <w:tcMar>
              <w:top w:w="60" w:type="dxa"/>
              <w:left w:w="120" w:type="dxa"/>
              <w:bottom w:w="30" w:type="dxa"/>
              <w:right w:w="120" w:type="dxa"/>
            </w:tcMar>
            <w:vAlign w:val="center"/>
          </w:tcPr>
          <w:p w14:paraId="6228340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无</w:t>
            </w:r>
          </w:p>
        </w:tc>
      </w:tr>
      <w:tr w14:paraId="37119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006" w:hRule="atLeast"/>
        </w:trPr>
        <w:tc>
          <w:tcPr>
            <w:tcW w:w="420" w:type="dxa"/>
            <w:tcMar>
              <w:top w:w="60" w:type="dxa"/>
              <w:left w:w="120" w:type="dxa"/>
              <w:bottom w:w="30" w:type="dxa"/>
              <w:right w:w="120" w:type="dxa"/>
            </w:tcMar>
            <w:vAlign w:val="center"/>
          </w:tcPr>
          <w:p w14:paraId="205618F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w:t>
            </w:r>
          </w:p>
        </w:tc>
        <w:tc>
          <w:tcPr>
            <w:tcW w:w="1084" w:type="dxa"/>
            <w:tcMar>
              <w:top w:w="60" w:type="dxa"/>
              <w:left w:w="120" w:type="dxa"/>
              <w:bottom w:w="30" w:type="dxa"/>
              <w:right w:w="120" w:type="dxa"/>
            </w:tcMar>
            <w:vAlign w:val="center"/>
          </w:tcPr>
          <w:p w14:paraId="255990E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S593</w:t>
            </w:r>
          </w:p>
        </w:tc>
        <w:tc>
          <w:tcPr>
            <w:tcW w:w="1936" w:type="dxa"/>
            <w:tcMar>
              <w:top w:w="60" w:type="dxa"/>
              <w:left w:w="120" w:type="dxa"/>
              <w:bottom w:w="30" w:type="dxa"/>
              <w:right w:w="120" w:type="dxa"/>
            </w:tcMar>
            <w:vAlign w:val="center"/>
          </w:tcPr>
          <w:p w14:paraId="37CC6E6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高台元山子-明花</w:t>
            </w:r>
          </w:p>
        </w:tc>
        <w:tc>
          <w:tcPr>
            <w:tcW w:w="1923" w:type="dxa"/>
            <w:tcMar>
              <w:top w:w="60" w:type="dxa"/>
              <w:left w:w="120" w:type="dxa"/>
              <w:bottom w:w="30" w:type="dxa"/>
              <w:right w:w="120" w:type="dxa"/>
            </w:tcMar>
            <w:vAlign w:val="center"/>
          </w:tcPr>
          <w:p w14:paraId="675F136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普通省道</w:t>
            </w:r>
          </w:p>
        </w:tc>
        <w:tc>
          <w:tcPr>
            <w:tcW w:w="1522" w:type="dxa"/>
            <w:tcMar>
              <w:top w:w="60" w:type="dxa"/>
              <w:left w:w="120" w:type="dxa"/>
              <w:bottom w:w="30" w:type="dxa"/>
              <w:right w:w="120" w:type="dxa"/>
            </w:tcMar>
            <w:vAlign w:val="center"/>
          </w:tcPr>
          <w:p w14:paraId="0514D592">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一般突发生态环境事件</w:t>
            </w:r>
          </w:p>
        </w:tc>
        <w:tc>
          <w:tcPr>
            <w:tcW w:w="1380" w:type="dxa"/>
            <w:tcMar>
              <w:top w:w="60" w:type="dxa"/>
              <w:left w:w="120" w:type="dxa"/>
              <w:bottom w:w="30" w:type="dxa"/>
              <w:right w:w="120" w:type="dxa"/>
            </w:tcMar>
            <w:vAlign w:val="center"/>
          </w:tcPr>
          <w:p w14:paraId="5351063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无</w:t>
            </w:r>
          </w:p>
        </w:tc>
      </w:tr>
    </w:tbl>
    <w:p w14:paraId="3B49E32C">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bookmarkStart w:id="83" w:name="heading_88"/>
    </w:p>
    <w:p w14:paraId="100F70A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（三）道路穿越水源地或水源情况</w:t>
      </w:r>
      <w:bookmarkEnd w:id="83"/>
    </w:p>
    <w:p w14:paraId="59602FC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载有环境风险物质的运输车辆在穿越饮用水水源保护区道路及跨越河流桥梁行驶时，如发生事故，易对水体产生较大影响。</w:t>
      </w:r>
    </w:p>
    <w:p w14:paraId="3BE9ECB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肃南县共有涉及环境风险物质运输穿越水源保护区道路1处，不涉及环境风险物质运输穿越河流主要道路桥梁。涉及环境风险物质运输穿越水源保护区道路情况见表3。</w:t>
      </w:r>
    </w:p>
    <w:p w14:paraId="6BC0E89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p w14:paraId="5652A1D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表3 涉及环境风险物质运输穿越水源保护区道路</w:t>
      </w:r>
    </w:p>
    <w:tbl>
      <w:tblPr>
        <w:tblStyle w:val="3"/>
        <w:tblW w:w="0" w:type="auto"/>
        <w:tblInd w:w="0" w:type="dxa"/>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fixed"/>
        <w:tblCellMar>
          <w:top w:w="0" w:type="dxa"/>
          <w:left w:w="10" w:type="dxa"/>
          <w:bottom w:w="0" w:type="dxa"/>
          <w:right w:w="10" w:type="dxa"/>
        </w:tblCellMar>
      </w:tblPr>
      <w:tblGrid>
        <w:gridCol w:w="1560"/>
        <w:gridCol w:w="4035"/>
        <w:gridCol w:w="1175"/>
        <w:gridCol w:w="1736"/>
      </w:tblGrid>
      <w:tr w14:paraId="6583938A">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560" w:type="dxa"/>
            <w:tcMar>
              <w:top w:w="60" w:type="dxa"/>
              <w:left w:w="120" w:type="dxa"/>
              <w:bottom w:w="30" w:type="dxa"/>
              <w:right w:w="120" w:type="dxa"/>
            </w:tcMar>
          </w:tcPr>
          <w:p w14:paraId="217855DB">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所在村（镇）</w:t>
            </w:r>
          </w:p>
        </w:tc>
        <w:tc>
          <w:tcPr>
            <w:tcW w:w="4035" w:type="dxa"/>
            <w:tcMar>
              <w:top w:w="60" w:type="dxa"/>
              <w:left w:w="120" w:type="dxa"/>
              <w:bottom w:w="30" w:type="dxa"/>
              <w:right w:w="120" w:type="dxa"/>
            </w:tcMar>
            <w:vAlign w:val="center"/>
          </w:tcPr>
          <w:p w14:paraId="2A442B4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涉及水源保护区</w:t>
            </w:r>
          </w:p>
        </w:tc>
        <w:tc>
          <w:tcPr>
            <w:tcW w:w="1175" w:type="dxa"/>
            <w:tcMar>
              <w:top w:w="60" w:type="dxa"/>
              <w:left w:w="120" w:type="dxa"/>
              <w:bottom w:w="30" w:type="dxa"/>
              <w:right w:w="120" w:type="dxa"/>
            </w:tcMar>
          </w:tcPr>
          <w:p w14:paraId="0C990BE8">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穿越道</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路</w:t>
            </w:r>
          </w:p>
        </w:tc>
        <w:tc>
          <w:tcPr>
            <w:tcW w:w="1736" w:type="dxa"/>
            <w:tcMar>
              <w:top w:w="60" w:type="dxa"/>
              <w:left w:w="120" w:type="dxa"/>
              <w:bottom w:w="30" w:type="dxa"/>
              <w:right w:w="120" w:type="dxa"/>
            </w:tcMar>
            <w:vAlign w:val="center"/>
          </w:tcPr>
          <w:p w14:paraId="71D24FB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穿越长度（km）</w:t>
            </w:r>
          </w:p>
        </w:tc>
      </w:tr>
      <w:tr w14:paraId="4451A0B2">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560" w:type="dxa"/>
            <w:tcMar>
              <w:top w:w="60" w:type="dxa"/>
              <w:left w:w="120" w:type="dxa"/>
              <w:bottom w:w="30" w:type="dxa"/>
              <w:right w:w="120" w:type="dxa"/>
            </w:tcMar>
            <w:vAlign w:val="center"/>
          </w:tcPr>
          <w:p w14:paraId="21056BA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大河乡</w:t>
            </w:r>
          </w:p>
        </w:tc>
        <w:tc>
          <w:tcPr>
            <w:tcW w:w="4035" w:type="dxa"/>
            <w:tcMar>
              <w:top w:w="60" w:type="dxa"/>
              <w:left w:w="120" w:type="dxa"/>
              <w:bottom w:w="30" w:type="dxa"/>
              <w:right w:w="120" w:type="dxa"/>
            </w:tcMar>
            <w:vAlign w:val="center"/>
          </w:tcPr>
          <w:p w14:paraId="2CADDD8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大河乡水源地二级保护区</w:t>
            </w:r>
          </w:p>
        </w:tc>
        <w:tc>
          <w:tcPr>
            <w:tcW w:w="1175" w:type="dxa"/>
            <w:tcMar>
              <w:top w:w="60" w:type="dxa"/>
              <w:left w:w="120" w:type="dxa"/>
              <w:bottom w:w="30" w:type="dxa"/>
              <w:right w:w="120" w:type="dxa"/>
            </w:tcMar>
            <w:vAlign w:val="center"/>
          </w:tcPr>
          <w:p w14:paraId="4A197B8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G213</w:t>
            </w:r>
          </w:p>
        </w:tc>
        <w:tc>
          <w:tcPr>
            <w:tcW w:w="1736" w:type="dxa"/>
            <w:tcMar>
              <w:top w:w="60" w:type="dxa"/>
              <w:left w:w="120" w:type="dxa"/>
              <w:bottom w:w="30" w:type="dxa"/>
              <w:right w:w="120" w:type="dxa"/>
            </w:tcMar>
            <w:vAlign w:val="center"/>
          </w:tcPr>
          <w:p w14:paraId="00AB7DD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1.3</w:t>
            </w:r>
          </w:p>
        </w:tc>
      </w:tr>
    </w:tbl>
    <w:p w14:paraId="6DCAC2A0">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bookmarkStart w:id="84" w:name="heading_89"/>
    </w:p>
    <w:p w14:paraId="3979F60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lang w:eastAsia="zh-CN"/>
        </w:rPr>
        <w:t>四、</w:t>
      </w:r>
      <w:r>
        <w:rPr>
          <w:rFonts w:hint="default" w:ascii="Times New Roman" w:hAnsi="Times New Roman" w:eastAsia="黑体" w:cs="Times New Roman"/>
          <w:sz w:val="32"/>
          <w:szCs w:val="32"/>
        </w:rPr>
        <w:t>行政区域现有环境风险防控与应急救援能力</w:t>
      </w:r>
      <w:bookmarkEnd w:id="84"/>
    </w:p>
    <w:p w14:paraId="1530023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环境风险防控与应急救援能力主要包括区域环境监测预警能力、污染物拦截与应急处理处置能力和环境应急救援能力。结合《行政区域突发生态环境事件风险评估推荐方法》（环办应急〔2018〕9号）表4，根据县生态环境分局提供的资料及实地调研，肃南县行政区域内现有环境风险防控能力与应急救援能力如下：</w:t>
      </w:r>
    </w:p>
    <w:p w14:paraId="42065CE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sz w:val="32"/>
          <w:szCs w:val="32"/>
        </w:rPr>
      </w:pPr>
      <w:bookmarkStart w:id="85" w:name="heading_90"/>
      <w:r>
        <w:rPr>
          <w:rFonts w:hint="default" w:ascii="Times New Roman" w:hAnsi="Times New Roman" w:eastAsia="楷体_GB2312" w:cs="Times New Roman"/>
          <w:sz w:val="32"/>
          <w:szCs w:val="32"/>
          <w:lang w:eastAsia="zh-CN"/>
        </w:rPr>
        <w:t>（一）</w:t>
      </w:r>
      <w:r>
        <w:rPr>
          <w:rFonts w:hint="default" w:ascii="Times New Roman" w:hAnsi="Times New Roman" w:eastAsia="楷体_GB2312" w:cs="Times New Roman"/>
          <w:sz w:val="32"/>
          <w:szCs w:val="32"/>
        </w:rPr>
        <w:t>环境监测情况</w:t>
      </w:r>
      <w:bookmarkEnd w:id="85"/>
    </w:p>
    <w:p w14:paraId="4E53F12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bookmarkStart w:id="86" w:name="heading_91"/>
      <w:r>
        <w:rPr>
          <w:rFonts w:hint="default" w:ascii="Times New Roman" w:hAnsi="Times New Roman" w:eastAsia="仿宋_GB2312" w:cs="Times New Roman"/>
          <w:sz w:val="32"/>
          <w:szCs w:val="32"/>
        </w:rPr>
        <w:t>环境质量监测点位布设情况</w:t>
      </w:r>
      <w:bookmarkEnd w:id="86"/>
      <w:r>
        <w:rPr>
          <w:rFonts w:hint="default" w:ascii="Times New Roman" w:hAnsi="Times New Roman" w:eastAsia="仿宋_GB2312" w:cs="Times New Roman"/>
          <w:sz w:val="32"/>
          <w:szCs w:val="32"/>
          <w:lang w:eastAsia="zh-CN"/>
        </w:rPr>
        <w:t>：</w:t>
      </w:r>
    </w:p>
    <w:p w14:paraId="361627F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1.</w:t>
      </w:r>
      <w:r>
        <w:rPr>
          <w:rFonts w:hint="default" w:ascii="Times New Roman" w:hAnsi="Times New Roman" w:eastAsia="仿宋_GB2312" w:cs="Times New Roman"/>
          <w:sz w:val="32"/>
          <w:szCs w:val="32"/>
        </w:rPr>
        <w:t>环境空气</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肃南县共设1个省级空气自动监测点位开展24小时连续自动监测，监测项目为二氧化硫、二氧化氮、可吸入颗粒物、细颗粒物、一氧化碳、臭氧。</w:t>
      </w:r>
    </w:p>
    <w:p w14:paraId="7FCD229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2.</w:t>
      </w:r>
      <w:r>
        <w:rPr>
          <w:rFonts w:hint="default" w:ascii="Times New Roman" w:hAnsi="Times New Roman" w:eastAsia="仿宋_GB2312" w:cs="Times New Roman"/>
          <w:sz w:val="32"/>
          <w:szCs w:val="32"/>
        </w:rPr>
        <w:t>地表水</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在隆畅河肃南县白银乡共设1个市考断面，每月监测1次，监测项目为《地表水环境质量标准》（GB3838-2002）表1中的24项，见表4。</w:t>
      </w:r>
    </w:p>
    <w:p w14:paraId="0C9039A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3.</w:t>
      </w:r>
      <w:r>
        <w:rPr>
          <w:rFonts w:hint="default" w:ascii="Times New Roman" w:hAnsi="Times New Roman" w:eastAsia="仿宋_GB2312" w:cs="Times New Roman"/>
          <w:sz w:val="32"/>
          <w:szCs w:val="32"/>
        </w:rPr>
        <w:t>集中式生活饮用水水源</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肃南县城市集中式地表水生活饮用水水源每季度监测1次，监测项目《地表水环境质量标准》（GB3838-2002）表1、表2、表3的优选特定项目，共计61项。地表水水源监测项目为《地表水环境质量标准》（GB3838-2002）表1和表2的项目。</w:t>
      </w:r>
    </w:p>
    <w:p w14:paraId="175F7FE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p w14:paraId="2FB2B9E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 xml:space="preserve"> 肃南县环境质量监测点位与频次一览表</w:t>
      </w:r>
    </w:p>
    <w:tbl>
      <w:tblPr>
        <w:tblStyle w:val="3"/>
        <w:tblW w:w="0" w:type="auto"/>
        <w:tblInd w:w="0" w:type="dxa"/>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fixed"/>
        <w:tblCellMar>
          <w:top w:w="0" w:type="dxa"/>
          <w:left w:w="10" w:type="dxa"/>
          <w:bottom w:w="0" w:type="dxa"/>
          <w:right w:w="10" w:type="dxa"/>
        </w:tblCellMar>
      </w:tblPr>
      <w:tblGrid>
        <w:gridCol w:w="915"/>
        <w:gridCol w:w="1935"/>
        <w:gridCol w:w="1110"/>
        <w:gridCol w:w="4320"/>
      </w:tblGrid>
      <w:tr w14:paraId="44004DD1">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91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3B3D18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类别</w:t>
            </w:r>
          </w:p>
        </w:tc>
        <w:tc>
          <w:tcPr>
            <w:tcW w:w="193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0E7B34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点位（断面）名称</w:t>
            </w:r>
          </w:p>
        </w:tc>
        <w:tc>
          <w:tcPr>
            <w:tcW w:w="111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505C59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监测频次</w:t>
            </w:r>
          </w:p>
        </w:tc>
        <w:tc>
          <w:tcPr>
            <w:tcW w:w="432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F063E3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监测项目</w:t>
            </w:r>
          </w:p>
        </w:tc>
      </w:tr>
      <w:tr w14:paraId="77CE51AE">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3032" w:hRule="atLeast"/>
        </w:trPr>
        <w:tc>
          <w:tcPr>
            <w:tcW w:w="91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58690B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环境</w:t>
            </w:r>
          </w:p>
          <w:p w14:paraId="1BE0A45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空气</w:t>
            </w:r>
          </w:p>
        </w:tc>
        <w:tc>
          <w:tcPr>
            <w:tcW w:w="193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C71D77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县生态环境分局</w:t>
            </w:r>
          </w:p>
        </w:tc>
        <w:tc>
          <w:tcPr>
            <w:tcW w:w="111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6B1EF5B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连续自动监测</w:t>
            </w:r>
          </w:p>
        </w:tc>
        <w:tc>
          <w:tcPr>
            <w:tcW w:w="432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7D6E6558">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二氧化硫、二氧化氮、可吸入颗粒物、细颗粒物、一氧化碳、臭氧</w:t>
            </w:r>
          </w:p>
        </w:tc>
      </w:tr>
      <w:tr w14:paraId="2A5BE734">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91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FE49AF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地表水</w:t>
            </w:r>
          </w:p>
        </w:tc>
        <w:tc>
          <w:tcPr>
            <w:tcW w:w="193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95B0D1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隆畅河肃南县白银乡</w:t>
            </w:r>
          </w:p>
        </w:tc>
        <w:tc>
          <w:tcPr>
            <w:tcW w:w="111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41683A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每月监测1次</w:t>
            </w:r>
          </w:p>
        </w:tc>
        <w:tc>
          <w:tcPr>
            <w:tcW w:w="432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7923E923">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pH、水温、溶解氧、化学需氧量、生化需氧量、铜、锌、挥发酚、阴离子表面活性剂、高锰酸盐指数、总磷、氨氮、氟化物、氰化物、汞、砷、硒、镉、铬（六价）、铅、粪大肠菌群、总氮、石油类、硫化物</w:t>
            </w:r>
          </w:p>
        </w:tc>
      </w:tr>
      <w:tr w14:paraId="37A0AAC6">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915" w:type="dxa"/>
            <w:vMerge w:val="restar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774BE43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集中式生活饮用水水源</w:t>
            </w:r>
          </w:p>
        </w:tc>
        <w:tc>
          <w:tcPr>
            <w:tcW w:w="193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7CA1BB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肃南县东柳沟水源地（河流型）</w:t>
            </w:r>
          </w:p>
        </w:tc>
        <w:tc>
          <w:tcPr>
            <w:tcW w:w="111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712861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每季度监测1次</w:t>
            </w:r>
          </w:p>
        </w:tc>
        <w:tc>
          <w:tcPr>
            <w:tcW w:w="432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19911E0D">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pH、水温、溶解氧、化学需氧量、生化需氧量、铜、锌、挥发酚、阴离子表面活性剂、高锰酸盐指数、总磷、氨氮、氟化物、氰化物、汞、砷、硒、镉、铬（六价）、铅、粪大肠菌群、石油类、硫化物、硫酸盐、氯化物、硝酸盐、铁、锰、三氯甲烷、四氯化碳、三氯乙烯、四氯乙烯、甲醛、苯、甲苯、乙苯、二甲苯、苯乙烯、异丙苯、氯苯、1，2-二氯苯、1，4-二氯苯、三氯苯、硝基苯、二硝基苯、硝基氯苯、林丹、滴滴涕、阿特拉津、苯并（a）芘、邻苯二甲酸二丁酯、邻苯二甲酸二（2</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乙基己基）酯、钼、铍、钡、镍、钒、铊、钴、锑、硼</w:t>
            </w:r>
          </w:p>
        </w:tc>
      </w:tr>
      <w:tr w14:paraId="1CF5006E">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915" w:type="dxa"/>
            <w:vMerge w:val="continue"/>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35D52C5B">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tc>
        <w:tc>
          <w:tcPr>
            <w:tcW w:w="193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2DC9C169">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乡镇集中式饮用水源</w:t>
            </w:r>
          </w:p>
        </w:tc>
        <w:tc>
          <w:tcPr>
            <w:tcW w:w="111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6234199E">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每年监测1次</w:t>
            </w:r>
          </w:p>
        </w:tc>
        <w:tc>
          <w:tcPr>
            <w:tcW w:w="432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56DAB282">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pH、水温、溶解氧、化学需氧量、生化需氧量、铜、锌、挥发酚、阴离子表面活性剂、高锰酸盐指数、总磷、氨氮、氟化物、氰化物、汞、砷、硒、镉、铬（六价）、铅、粪大肠菌群、总氮、石油类、硫化物、硫酸盐、氯化物、硝酸盐、铁、锰</w:t>
            </w:r>
          </w:p>
        </w:tc>
      </w:tr>
    </w:tbl>
    <w:p w14:paraId="4C5587C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sz w:val="32"/>
          <w:szCs w:val="32"/>
          <w:lang w:eastAsia="zh-CN"/>
        </w:rPr>
      </w:pPr>
      <w:bookmarkStart w:id="87" w:name="heading_92"/>
    </w:p>
    <w:p w14:paraId="49BA6B4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lang w:eastAsia="zh-CN"/>
        </w:rPr>
        <w:t>（二）</w:t>
      </w:r>
      <w:r>
        <w:rPr>
          <w:rFonts w:hint="default" w:ascii="Times New Roman" w:hAnsi="Times New Roman" w:eastAsia="楷体_GB2312" w:cs="Times New Roman"/>
          <w:sz w:val="32"/>
          <w:szCs w:val="32"/>
        </w:rPr>
        <w:t>环境监测机构概况</w:t>
      </w:r>
      <w:bookmarkEnd w:id="87"/>
    </w:p>
    <w:p w14:paraId="4574E9B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肃南县环境监测站于2015年11月4日获得检验检测机构资质认定证书。2016年11月三级站达标验收。目前核定事业编制8人，现有干部职工7人，其中专业技术人员5人，管理人员2人，专业技术人员中，工程师2人，助理工程师3人。配有万分之一分析天平、pH计、紫外可见分光光度计、原子荧光分光光度计、电导仪、降水自动采样器</w:t>
      </w:r>
      <w:r>
        <w:rPr>
          <w:rFonts w:hint="default" w:ascii="Times New Roman" w:hAnsi="Times New Roman" w:eastAsia="仿宋_GB2312" w:cs="Times New Roman"/>
          <w:sz w:val="32"/>
          <w:szCs w:val="32"/>
          <w:lang w:eastAsia="zh-CN"/>
        </w:rPr>
        <w:t>等</w:t>
      </w:r>
      <w:r>
        <w:rPr>
          <w:rFonts w:hint="default" w:ascii="Times New Roman" w:hAnsi="Times New Roman" w:eastAsia="仿宋_GB2312" w:cs="Times New Roman"/>
          <w:sz w:val="32"/>
          <w:szCs w:val="32"/>
        </w:rPr>
        <w:t>环境监测仪器设备41种50台/件。总用房面积880m</w:t>
      </w:r>
      <w:r>
        <w:rPr>
          <w:rFonts w:hint="default" w:ascii="Times New Roman" w:hAnsi="Times New Roman" w:eastAsia="仿宋_GB2312" w:cs="Times New Roman"/>
          <w:sz w:val="32"/>
          <w:szCs w:val="32"/>
          <w:vertAlign w:val="superscript"/>
        </w:rPr>
        <w:t>2</w:t>
      </w:r>
      <w:r>
        <w:rPr>
          <w:rFonts w:hint="default" w:ascii="Times New Roman" w:hAnsi="Times New Roman" w:eastAsia="仿宋_GB2312" w:cs="Times New Roman"/>
          <w:sz w:val="32"/>
          <w:szCs w:val="32"/>
        </w:rPr>
        <w:t>，其中实验室用房面积750m</w:t>
      </w:r>
      <w:r>
        <w:rPr>
          <w:rFonts w:hint="default" w:ascii="Times New Roman" w:hAnsi="Times New Roman" w:eastAsia="仿宋_GB2312" w:cs="Times New Roman"/>
          <w:sz w:val="32"/>
          <w:szCs w:val="32"/>
          <w:vertAlign w:val="superscript"/>
        </w:rPr>
        <w:t>2</w:t>
      </w:r>
      <w:r>
        <w:rPr>
          <w:rFonts w:hint="default" w:ascii="Times New Roman" w:hAnsi="Times New Roman" w:eastAsia="仿宋_GB2312" w:cs="Times New Roman"/>
          <w:sz w:val="32"/>
          <w:szCs w:val="32"/>
        </w:rPr>
        <w:t>，监测业务用房面积130m</w:t>
      </w:r>
      <w:r>
        <w:rPr>
          <w:rFonts w:hint="default" w:ascii="Times New Roman" w:hAnsi="Times New Roman" w:eastAsia="仿宋_GB2312" w:cs="Times New Roman"/>
          <w:sz w:val="32"/>
          <w:szCs w:val="32"/>
          <w:vertAlign w:val="superscript"/>
        </w:rPr>
        <w:t>2</w:t>
      </w:r>
      <w:r>
        <w:rPr>
          <w:rFonts w:hint="default" w:ascii="Times New Roman" w:hAnsi="Times New Roman" w:eastAsia="仿宋_GB2312" w:cs="Times New Roman"/>
          <w:sz w:val="32"/>
          <w:szCs w:val="32"/>
        </w:rPr>
        <w:t>。</w:t>
      </w:r>
    </w:p>
    <w:p w14:paraId="1B5276C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sz w:val="32"/>
          <w:szCs w:val="32"/>
        </w:rPr>
      </w:pPr>
      <w:bookmarkStart w:id="88" w:name="heading_93"/>
      <w:r>
        <w:rPr>
          <w:rFonts w:hint="default" w:ascii="Times New Roman" w:hAnsi="Times New Roman" w:eastAsia="楷体_GB2312" w:cs="Times New Roman"/>
          <w:sz w:val="32"/>
          <w:szCs w:val="32"/>
          <w:lang w:eastAsia="zh-CN"/>
        </w:rPr>
        <w:t>（三）</w:t>
      </w:r>
      <w:r>
        <w:rPr>
          <w:rFonts w:hint="default" w:ascii="Times New Roman" w:hAnsi="Times New Roman" w:eastAsia="楷体_GB2312" w:cs="Times New Roman"/>
          <w:sz w:val="32"/>
          <w:szCs w:val="32"/>
        </w:rPr>
        <w:t>监测站情况分析</w:t>
      </w:r>
      <w:bookmarkEnd w:id="88"/>
    </w:p>
    <w:p w14:paraId="2F1A395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根据《全国环境监测站建设标准》和《关于印发</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全国环境监测站建设补充标准〉的通知》中关于环境监测机构人员标准及机构、监测经费、监测用房、基本仪器配置、应急环境监测仪器配置和专业监测仪器配置要求，对肃南县监测机构进行评估。</w:t>
      </w:r>
    </w:p>
    <w:p w14:paraId="16508020">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p w14:paraId="35BE0411">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p w14:paraId="5CF42093">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p w14:paraId="2F987A3E">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p w14:paraId="30EF102E">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p w14:paraId="6D0FA04E">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p w14:paraId="59576832">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p w14:paraId="0B4FC9F3">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p w14:paraId="476DDBA6">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p w14:paraId="4F4036B7">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p w14:paraId="1F33D198">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p w14:paraId="3C2C74E7">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p w14:paraId="5DB133F4">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p w14:paraId="694E1FB0">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p w14:paraId="66111A16">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p w14:paraId="571053BB">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p w14:paraId="295BB33B">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p w14:paraId="0EDE5CF1">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p w14:paraId="29E99DD6">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p w14:paraId="0954F99C">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p w14:paraId="7CC34FFF">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小标宋简体" w:cs="Times New Roman"/>
          <w:sz w:val="44"/>
          <w:szCs w:val="44"/>
        </w:rPr>
      </w:pPr>
    </w:p>
    <w:p w14:paraId="34CB3204">
      <w:pPr>
        <w:keepNext w:val="0"/>
        <w:keepLines w:val="0"/>
        <w:pageBreakBefore w:val="0"/>
        <w:widowControl w:val="0"/>
        <w:kinsoku/>
        <w:wordWrap/>
        <w:overflowPunct/>
        <w:topLinePunct w:val="0"/>
        <w:autoSpaceDE/>
        <w:autoSpaceDN/>
        <w:bidi w:val="0"/>
        <w:adjustRightInd/>
        <w:snapToGrid/>
        <w:spacing w:line="740" w:lineRule="exact"/>
        <w:jc w:val="center"/>
        <w:textAlignment w:val="auto"/>
        <w:rPr>
          <w:rFonts w:hint="default" w:ascii="Times New Roman" w:hAnsi="Times New Roman" w:eastAsia="方正小标宋简体" w:cs="Times New Roman"/>
          <w:sz w:val="48"/>
          <w:szCs w:val="48"/>
        </w:rPr>
      </w:pPr>
      <w:r>
        <w:rPr>
          <w:rFonts w:hint="default" w:ascii="Times New Roman" w:hAnsi="Times New Roman" w:eastAsia="方正小标宋简体" w:cs="Times New Roman"/>
          <w:sz w:val="48"/>
          <w:szCs w:val="48"/>
        </w:rPr>
        <w:t>肃</w:t>
      </w:r>
    </w:p>
    <w:p w14:paraId="499CFCE8">
      <w:pPr>
        <w:keepNext w:val="0"/>
        <w:keepLines w:val="0"/>
        <w:pageBreakBefore w:val="0"/>
        <w:widowControl w:val="0"/>
        <w:kinsoku/>
        <w:wordWrap/>
        <w:overflowPunct/>
        <w:topLinePunct w:val="0"/>
        <w:autoSpaceDE/>
        <w:autoSpaceDN/>
        <w:bidi w:val="0"/>
        <w:adjustRightInd/>
        <w:snapToGrid/>
        <w:spacing w:line="740" w:lineRule="exact"/>
        <w:jc w:val="center"/>
        <w:textAlignment w:val="auto"/>
        <w:rPr>
          <w:rFonts w:hint="default" w:ascii="Times New Roman" w:hAnsi="Times New Roman" w:eastAsia="方正小标宋简体" w:cs="Times New Roman"/>
          <w:sz w:val="48"/>
          <w:szCs w:val="48"/>
        </w:rPr>
      </w:pPr>
      <w:r>
        <w:rPr>
          <w:rFonts w:hint="default" w:ascii="Times New Roman" w:hAnsi="Times New Roman" w:eastAsia="方正小标宋简体" w:cs="Times New Roman"/>
          <w:sz w:val="48"/>
          <w:szCs w:val="48"/>
        </w:rPr>
        <w:t>南</w:t>
      </w:r>
    </w:p>
    <w:p w14:paraId="4861E340">
      <w:pPr>
        <w:keepNext w:val="0"/>
        <w:keepLines w:val="0"/>
        <w:pageBreakBefore w:val="0"/>
        <w:widowControl w:val="0"/>
        <w:kinsoku/>
        <w:wordWrap/>
        <w:overflowPunct/>
        <w:topLinePunct w:val="0"/>
        <w:autoSpaceDE/>
        <w:autoSpaceDN/>
        <w:bidi w:val="0"/>
        <w:adjustRightInd/>
        <w:snapToGrid/>
        <w:spacing w:line="740" w:lineRule="exact"/>
        <w:jc w:val="center"/>
        <w:textAlignment w:val="auto"/>
        <w:rPr>
          <w:rFonts w:hint="default" w:ascii="Times New Roman" w:hAnsi="Times New Roman" w:eastAsia="方正小标宋简体" w:cs="Times New Roman"/>
          <w:sz w:val="48"/>
          <w:szCs w:val="48"/>
        </w:rPr>
      </w:pPr>
      <w:r>
        <w:rPr>
          <w:rFonts w:hint="default" w:ascii="Times New Roman" w:hAnsi="Times New Roman" w:eastAsia="方正小标宋简体" w:cs="Times New Roman"/>
          <w:sz w:val="48"/>
          <w:szCs w:val="48"/>
        </w:rPr>
        <w:t>县</w:t>
      </w:r>
    </w:p>
    <w:p w14:paraId="12397085">
      <w:pPr>
        <w:keepNext w:val="0"/>
        <w:keepLines w:val="0"/>
        <w:pageBreakBefore w:val="0"/>
        <w:widowControl w:val="0"/>
        <w:kinsoku/>
        <w:wordWrap/>
        <w:overflowPunct/>
        <w:topLinePunct w:val="0"/>
        <w:autoSpaceDE/>
        <w:autoSpaceDN/>
        <w:bidi w:val="0"/>
        <w:adjustRightInd/>
        <w:snapToGrid/>
        <w:spacing w:line="740" w:lineRule="exact"/>
        <w:jc w:val="center"/>
        <w:textAlignment w:val="auto"/>
        <w:rPr>
          <w:rFonts w:hint="default" w:ascii="Times New Roman" w:hAnsi="Times New Roman" w:eastAsia="方正小标宋简体" w:cs="Times New Roman"/>
          <w:sz w:val="48"/>
          <w:szCs w:val="48"/>
        </w:rPr>
      </w:pPr>
      <w:r>
        <w:rPr>
          <w:rFonts w:hint="default" w:ascii="Times New Roman" w:hAnsi="Times New Roman" w:eastAsia="方正小标宋简体" w:cs="Times New Roman"/>
          <w:sz w:val="48"/>
          <w:szCs w:val="48"/>
        </w:rPr>
        <w:t>突</w:t>
      </w:r>
    </w:p>
    <w:p w14:paraId="21F9B3F3">
      <w:pPr>
        <w:keepNext w:val="0"/>
        <w:keepLines w:val="0"/>
        <w:pageBreakBefore w:val="0"/>
        <w:widowControl w:val="0"/>
        <w:kinsoku/>
        <w:wordWrap/>
        <w:overflowPunct/>
        <w:topLinePunct w:val="0"/>
        <w:autoSpaceDE/>
        <w:autoSpaceDN/>
        <w:bidi w:val="0"/>
        <w:adjustRightInd/>
        <w:snapToGrid/>
        <w:spacing w:line="740" w:lineRule="exact"/>
        <w:jc w:val="center"/>
        <w:textAlignment w:val="auto"/>
        <w:rPr>
          <w:rFonts w:hint="default" w:ascii="Times New Roman" w:hAnsi="Times New Roman" w:eastAsia="方正小标宋简体" w:cs="Times New Roman"/>
          <w:sz w:val="48"/>
          <w:szCs w:val="48"/>
        </w:rPr>
      </w:pPr>
      <w:r>
        <w:rPr>
          <w:rFonts w:hint="default" w:ascii="Times New Roman" w:hAnsi="Times New Roman" w:eastAsia="方正小标宋简体" w:cs="Times New Roman"/>
          <w:sz w:val="48"/>
          <w:szCs w:val="48"/>
        </w:rPr>
        <w:t>发</w:t>
      </w:r>
    </w:p>
    <w:p w14:paraId="3F76BD42">
      <w:pPr>
        <w:keepNext w:val="0"/>
        <w:keepLines w:val="0"/>
        <w:pageBreakBefore w:val="0"/>
        <w:widowControl w:val="0"/>
        <w:kinsoku/>
        <w:wordWrap/>
        <w:overflowPunct/>
        <w:topLinePunct w:val="0"/>
        <w:autoSpaceDE/>
        <w:autoSpaceDN/>
        <w:bidi w:val="0"/>
        <w:adjustRightInd/>
        <w:snapToGrid/>
        <w:spacing w:line="740" w:lineRule="exact"/>
        <w:jc w:val="center"/>
        <w:textAlignment w:val="auto"/>
        <w:rPr>
          <w:rFonts w:hint="default" w:ascii="Times New Roman" w:hAnsi="Times New Roman" w:eastAsia="方正小标宋简体" w:cs="Times New Roman"/>
          <w:sz w:val="48"/>
          <w:szCs w:val="48"/>
        </w:rPr>
      </w:pPr>
      <w:r>
        <w:rPr>
          <w:rFonts w:hint="default" w:ascii="Times New Roman" w:hAnsi="Times New Roman" w:eastAsia="方正小标宋简体" w:cs="Times New Roman"/>
          <w:sz w:val="48"/>
          <w:szCs w:val="48"/>
        </w:rPr>
        <w:t>环</w:t>
      </w:r>
    </w:p>
    <w:p w14:paraId="53B211DF">
      <w:pPr>
        <w:keepNext w:val="0"/>
        <w:keepLines w:val="0"/>
        <w:pageBreakBefore w:val="0"/>
        <w:widowControl w:val="0"/>
        <w:kinsoku/>
        <w:wordWrap/>
        <w:overflowPunct/>
        <w:topLinePunct w:val="0"/>
        <w:autoSpaceDE/>
        <w:autoSpaceDN/>
        <w:bidi w:val="0"/>
        <w:adjustRightInd/>
        <w:snapToGrid/>
        <w:spacing w:line="740" w:lineRule="exact"/>
        <w:jc w:val="center"/>
        <w:textAlignment w:val="auto"/>
        <w:rPr>
          <w:rFonts w:hint="default" w:ascii="Times New Roman" w:hAnsi="Times New Roman" w:eastAsia="方正小标宋简体" w:cs="Times New Roman"/>
          <w:sz w:val="48"/>
          <w:szCs w:val="48"/>
        </w:rPr>
      </w:pPr>
      <w:r>
        <w:rPr>
          <w:rFonts w:hint="default" w:ascii="Times New Roman" w:hAnsi="Times New Roman" w:eastAsia="方正小标宋简体" w:cs="Times New Roman"/>
          <w:sz w:val="48"/>
          <w:szCs w:val="48"/>
        </w:rPr>
        <w:t>境</w:t>
      </w:r>
    </w:p>
    <w:p w14:paraId="0A1A029B">
      <w:pPr>
        <w:keepNext w:val="0"/>
        <w:keepLines w:val="0"/>
        <w:pageBreakBefore w:val="0"/>
        <w:widowControl w:val="0"/>
        <w:kinsoku/>
        <w:wordWrap/>
        <w:overflowPunct/>
        <w:topLinePunct w:val="0"/>
        <w:autoSpaceDE/>
        <w:autoSpaceDN/>
        <w:bidi w:val="0"/>
        <w:adjustRightInd/>
        <w:snapToGrid/>
        <w:spacing w:line="740" w:lineRule="exact"/>
        <w:jc w:val="center"/>
        <w:textAlignment w:val="auto"/>
        <w:rPr>
          <w:rFonts w:hint="default" w:ascii="Times New Roman" w:hAnsi="Times New Roman" w:eastAsia="方正小标宋简体" w:cs="Times New Roman"/>
          <w:sz w:val="48"/>
          <w:szCs w:val="48"/>
        </w:rPr>
      </w:pPr>
      <w:r>
        <w:rPr>
          <w:rFonts w:hint="default" w:ascii="Times New Roman" w:hAnsi="Times New Roman" w:eastAsia="方正小标宋简体" w:cs="Times New Roman"/>
          <w:sz w:val="48"/>
          <w:szCs w:val="48"/>
        </w:rPr>
        <w:t>事</w:t>
      </w:r>
    </w:p>
    <w:p w14:paraId="406CC059">
      <w:pPr>
        <w:keepNext w:val="0"/>
        <w:keepLines w:val="0"/>
        <w:pageBreakBefore w:val="0"/>
        <w:widowControl w:val="0"/>
        <w:kinsoku/>
        <w:wordWrap/>
        <w:overflowPunct/>
        <w:topLinePunct w:val="0"/>
        <w:autoSpaceDE/>
        <w:autoSpaceDN/>
        <w:bidi w:val="0"/>
        <w:adjustRightInd/>
        <w:snapToGrid/>
        <w:spacing w:line="740" w:lineRule="exact"/>
        <w:jc w:val="center"/>
        <w:textAlignment w:val="auto"/>
        <w:rPr>
          <w:rFonts w:hint="default" w:ascii="Times New Roman" w:hAnsi="Times New Roman" w:eastAsia="方正小标宋简体" w:cs="Times New Roman"/>
          <w:sz w:val="48"/>
          <w:szCs w:val="48"/>
        </w:rPr>
      </w:pPr>
      <w:r>
        <w:rPr>
          <w:rFonts w:hint="default" w:ascii="Times New Roman" w:hAnsi="Times New Roman" w:eastAsia="方正小标宋简体" w:cs="Times New Roman"/>
          <w:sz w:val="48"/>
          <w:szCs w:val="48"/>
        </w:rPr>
        <w:t>件</w:t>
      </w:r>
    </w:p>
    <w:p w14:paraId="0B77E8C2">
      <w:pPr>
        <w:keepNext w:val="0"/>
        <w:keepLines w:val="0"/>
        <w:pageBreakBefore w:val="0"/>
        <w:widowControl w:val="0"/>
        <w:kinsoku/>
        <w:wordWrap/>
        <w:overflowPunct/>
        <w:topLinePunct w:val="0"/>
        <w:autoSpaceDE/>
        <w:autoSpaceDN/>
        <w:bidi w:val="0"/>
        <w:adjustRightInd/>
        <w:snapToGrid/>
        <w:spacing w:line="740" w:lineRule="exact"/>
        <w:jc w:val="center"/>
        <w:textAlignment w:val="auto"/>
        <w:rPr>
          <w:rFonts w:hint="default" w:ascii="Times New Roman" w:hAnsi="Times New Roman" w:eastAsia="方正小标宋简体" w:cs="Times New Roman"/>
          <w:sz w:val="48"/>
          <w:szCs w:val="48"/>
        </w:rPr>
      </w:pPr>
      <w:r>
        <w:rPr>
          <w:rFonts w:hint="default" w:ascii="Times New Roman" w:hAnsi="Times New Roman" w:eastAsia="方正小标宋简体" w:cs="Times New Roman"/>
          <w:sz w:val="48"/>
          <w:szCs w:val="48"/>
        </w:rPr>
        <w:t>调</w:t>
      </w:r>
    </w:p>
    <w:p w14:paraId="7E6A54C8">
      <w:pPr>
        <w:keepNext w:val="0"/>
        <w:keepLines w:val="0"/>
        <w:pageBreakBefore w:val="0"/>
        <w:widowControl w:val="0"/>
        <w:kinsoku/>
        <w:wordWrap/>
        <w:overflowPunct/>
        <w:topLinePunct w:val="0"/>
        <w:autoSpaceDE/>
        <w:autoSpaceDN/>
        <w:bidi w:val="0"/>
        <w:adjustRightInd/>
        <w:snapToGrid/>
        <w:spacing w:line="740" w:lineRule="exact"/>
        <w:jc w:val="center"/>
        <w:textAlignment w:val="auto"/>
        <w:rPr>
          <w:rFonts w:hint="default" w:ascii="Times New Roman" w:hAnsi="Times New Roman" w:eastAsia="方正小标宋简体" w:cs="Times New Roman"/>
          <w:sz w:val="48"/>
          <w:szCs w:val="48"/>
        </w:rPr>
      </w:pPr>
      <w:r>
        <w:rPr>
          <w:rFonts w:hint="default" w:ascii="Times New Roman" w:hAnsi="Times New Roman" w:eastAsia="方正小标宋简体" w:cs="Times New Roman"/>
          <w:sz w:val="48"/>
          <w:szCs w:val="48"/>
        </w:rPr>
        <w:t>查</w:t>
      </w:r>
    </w:p>
    <w:p w14:paraId="78754C3A">
      <w:pPr>
        <w:keepNext w:val="0"/>
        <w:keepLines w:val="0"/>
        <w:pageBreakBefore w:val="0"/>
        <w:widowControl w:val="0"/>
        <w:kinsoku/>
        <w:wordWrap/>
        <w:overflowPunct/>
        <w:topLinePunct w:val="0"/>
        <w:autoSpaceDE/>
        <w:autoSpaceDN/>
        <w:bidi w:val="0"/>
        <w:adjustRightInd/>
        <w:snapToGrid/>
        <w:spacing w:line="740" w:lineRule="exact"/>
        <w:jc w:val="center"/>
        <w:textAlignment w:val="auto"/>
        <w:rPr>
          <w:rFonts w:hint="default" w:ascii="Times New Roman" w:hAnsi="Times New Roman" w:eastAsia="方正小标宋简体" w:cs="Times New Roman"/>
          <w:sz w:val="48"/>
          <w:szCs w:val="48"/>
        </w:rPr>
      </w:pPr>
      <w:r>
        <w:rPr>
          <w:rFonts w:hint="default" w:ascii="Times New Roman" w:hAnsi="Times New Roman" w:eastAsia="方正小标宋简体" w:cs="Times New Roman"/>
          <w:sz w:val="48"/>
          <w:szCs w:val="48"/>
        </w:rPr>
        <w:t>报</w:t>
      </w:r>
    </w:p>
    <w:p w14:paraId="010EBEFA">
      <w:pPr>
        <w:keepNext w:val="0"/>
        <w:keepLines w:val="0"/>
        <w:pageBreakBefore w:val="0"/>
        <w:widowControl w:val="0"/>
        <w:kinsoku/>
        <w:wordWrap/>
        <w:overflowPunct/>
        <w:topLinePunct w:val="0"/>
        <w:autoSpaceDE/>
        <w:autoSpaceDN/>
        <w:bidi w:val="0"/>
        <w:adjustRightInd/>
        <w:snapToGrid/>
        <w:spacing w:line="740" w:lineRule="exact"/>
        <w:jc w:val="center"/>
        <w:textAlignment w:val="auto"/>
        <w:rPr>
          <w:rFonts w:hint="default" w:ascii="Times New Roman" w:hAnsi="Times New Roman" w:eastAsia="方正小标宋简体" w:cs="Times New Roman"/>
          <w:sz w:val="48"/>
          <w:szCs w:val="48"/>
        </w:rPr>
      </w:pPr>
      <w:r>
        <w:rPr>
          <w:rFonts w:hint="default" w:ascii="Times New Roman" w:hAnsi="Times New Roman" w:eastAsia="方正小标宋简体" w:cs="Times New Roman"/>
          <w:sz w:val="48"/>
          <w:szCs w:val="48"/>
        </w:rPr>
        <w:t>告</w:t>
      </w:r>
    </w:p>
    <w:p w14:paraId="2A87F1C3">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p w14:paraId="7C2B8F98">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p w14:paraId="1147231C">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p w14:paraId="5D60AB38">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p w14:paraId="58A1FE7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8"/>
          <w:szCs w:val="48"/>
        </w:rPr>
      </w:pPr>
      <w:r>
        <w:rPr>
          <w:rFonts w:hint="default" w:ascii="Times New Roman" w:hAnsi="Times New Roman" w:eastAsia="方正小标宋简体" w:cs="Times New Roman"/>
          <w:sz w:val="48"/>
          <w:szCs w:val="48"/>
        </w:rPr>
        <w:t>肃南县突发生态环境事件调查报告</w:t>
      </w:r>
    </w:p>
    <w:p w14:paraId="29AF8C0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8"/>
          <w:szCs w:val="48"/>
        </w:rPr>
      </w:pPr>
      <w:bookmarkStart w:id="89" w:name="heading_94"/>
    </w:p>
    <w:p w14:paraId="37F02410">
      <w:pPr>
        <w:keepNext w:val="0"/>
        <w:keepLines w:val="0"/>
        <w:pageBreakBefore w:val="0"/>
        <w:widowControl w:val="0"/>
        <w:kinsoku/>
        <w:wordWrap/>
        <w:overflowPunct/>
        <w:topLinePunct w:val="0"/>
        <w:autoSpaceDE/>
        <w:autoSpaceDN/>
        <w:bidi w:val="0"/>
        <w:adjustRightInd/>
        <w:snapToGrid/>
        <w:spacing w:line="560" w:lineRule="exact"/>
        <w:ind w:firstLine="320" w:firstLineChars="100"/>
        <w:textAlignment w:val="auto"/>
        <w:rPr>
          <w:rFonts w:hint="default" w:ascii="Times New Roman" w:hAnsi="Times New Roman" w:eastAsia="黑体" w:cs="Times New Roman"/>
          <w:sz w:val="32"/>
          <w:szCs w:val="32"/>
          <w:lang w:eastAsia="zh-CN"/>
        </w:rPr>
      </w:pPr>
      <w:r>
        <w:rPr>
          <w:rFonts w:hint="eastAsia" w:ascii="Times New Roman" w:hAnsi="Times New Roman" w:eastAsia="黑体" w:cs="Times New Roman"/>
          <w:sz w:val="32"/>
          <w:szCs w:val="32"/>
          <w:lang w:eastAsia="zh-CN"/>
        </w:rPr>
        <w:t>一、</w:t>
      </w:r>
      <w:r>
        <w:rPr>
          <w:rFonts w:hint="default" w:ascii="Times New Roman" w:hAnsi="Times New Roman" w:eastAsia="黑体" w:cs="Times New Roman"/>
          <w:sz w:val="32"/>
          <w:szCs w:val="32"/>
          <w:lang w:eastAsia="zh-CN"/>
        </w:rPr>
        <w:t>环境应急物资和应急装备调查</w:t>
      </w:r>
      <w:bookmarkEnd w:id="89"/>
    </w:p>
    <w:p w14:paraId="5757B7E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应急物资和应急装备是突发生态环境事件应急救援的重要物资保障，也是保障应急队伍有效开展的基础。此次调查的对象为肃南县政府相关部门及肃南县行政区域内相关企事业单位。</w:t>
      </w:r>
    </w:p>
    <w:p w14:paraId="6626049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1.</w:t>
      </w:r>
      <w:r>
        <w:rPr>
          <w:rFonts w:hint="default" w:ascii="Times New Roman" w:hAnsi="Times New Roman" w:eastAsia="仿宋_GB2312" w:cs="Times New Roman"/>
          <w:sz w:val="32"/>
          <w:szCs w:val="32"/>
        </w:rPr>
        <w:t>政府部门环境应急物资</w:t>
      </w:r>
    </w:p>
    <w:p w14:paraId="21E9DBB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肃南县县级应急物资储备情况详见《肃南县行政区域突发生态环境事件风险评估报告》。</w:t>
      </w:r>
    </w:p>
    <w:p w14:paraId="405D5F6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2.</w:t>
      </w:r>
      <w:r>
        <w:rPr>
          <w:rFonts w:hint="default" w:ascii="Times New Roman" w:hAnsi="Times New Roman" w:eastAsia="仿宋_GB2312" w:cs="Times New Roman"/>
          <w:sz w:val="32"/>
          <w:szCs w:val="32"/>
        </w:rPr>
        <w:t>企业应急物资</w:t>
      </w:r>
    </w:p>
    <w:p w14:paraId="5048ACA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肃南县内备案的较大环境风险企业已配备环境应急物资，物资统计参照《环境应急资源调查指南（试行）》（环办应急</w:t>
      </w:r>
      <w:r>
        <w:rPr>
          <w:rFonts w:hint="default" w:ascii="Times New Roman" w:hAnsi="Times New Roman" w:eastAsia="仿宋_GB2312" w:cs="Times New Roman"/>
          <w:sz w:val="32"/>
          <w:szCs w:val="32"/>
          <w:lang w:eastAsia="zh-CN"/>
        </w:rPr>
        <w:t>〔2019〕17号</w:t>
      </w:r>
      <w:r>
        <w:rPr>
          <w:rFonts w:hint="default" w:ascii="Times New Roman" w:hAnsi="Times New Roman" w:eastAsia="仿宋_GB2312" w:cs="Times New Roman"/>
          <w:sz w:val="32"/>
          <w:szCs w:val="32"/>
        </w:rPr>
        <w:t>），肃南县重点企业应急物资详见附表总表及其表1—表24。</w:t>
      </w:r>
    </w:p>
    <w:p w14:paraId="3FD03AA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根据调查结果，肃南县区域内企业主要物资为安全防护类物资，发生泄漏事故时，无法对泄漏污染物进行有效控制、收集，存在泄漏风险事故的企业需根据《环境应急资源调查指南（试行）》（环办应急</w:t>
      </w:r>
      <w:r>
        <w:rPr>
          <w:rFonts w:hint="default" w:ascii="Times New Roman" w:hAnsi="Times New Roman" w:eastAsia="仿宋_GB2312" w:cs="Times New Roman"/>
          <w:sz w:val="32"/>
          <w:szCs w:val="32"/>
          <w:lang w:eastAsia="zh-CN"/>
        </w:rPr>
        <w:t>〔2019〕17号</w:t>
      </w:r>
      <w:r>
        <w:rPr>
          <w:rFonts w:hint="default" w:ascii="Times New Roman" w:hAnsi="Times New Roman" w:eastAsia="仿宋_GB2312" w:cs="Times New Roman"/>
          <w:sz w:val="32"/>
          <w:szCs w:val="32"/>
        </w:rPr>
        <w:t>）附录A中的物资分类及其自身风险事故种类进一步完善本企业的环境应急物资，环境应急资源参考名录见下表。</w:t>
      </w:r>
    </w:p>
    <w:p w14:paraId="20A016F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p w14:paraId="0A2ED40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p w14:paraId="2966BF7A">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p w14:paraId="3217A10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 xml:space="preserve"> 环境应急资源参考名录</w:t>
      </w:r>
    </w:p>
    <w:tbl>
      <w:tblPr>
        <w:tblStyle w:val="3"/>
        <w:tblW w:w="0" w:type="auto"/>
        <w:tblInd w:w="0" w:type="dxa"/>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fixed"/>
        <w:tblCellMar>
          <w:top w:w="0" w:type="dxa"/>
          <w:left w:w="10" w:type="dxa"/>
          <w:bottom w:w="0" w:type="dxa"/>
          <w:right w:w="10" w:type="dxa"/>
        </w:tblCellMar>
      </w:tblPr>
      <w:tblGrid>
        <w:gridCol w:w="1485"/>
        <w:gridCol w:w="5730"/>
        <w:gridCol w:w="1080"/>
      </w:tblGrid>
      <w:tr w14:paraId="0BC5DBA8">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48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6531D26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主要作业方式或资源功能</w:t>
            </w:r>
          </w:p>
        </w:tc>
        <w:tc>
          <w:tcPr>
            <w:tcW w:w="573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A13784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重点应急资源名称</w:t>
            </w:r>
          </w:p>
        </w:tc>
        <w:tc>
          <w:tcPr>
            <w:tcW w:w="108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938468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备注</w:t>
            </w:r>
          </w:p>
        </w:tc>
      </w:tr>
      <w:tr w14:paraId="75DEDBF0">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3070" w:hRule="atLeast"/>
        </w:trPr>
        <w:tc>
          <w:tcPr>
            <w:tcW w:w="148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747A62A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污染源切断</w:t>
            </w:r>
          </w:p>
        </w:tc>
        <w:tc>
          <w:tcPr>
            <w:tcW w:w="573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74B9AD96">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沙包沙袋，快速膨胀袋，溢漏围堤</w:t>
            </w:r>
          </w:p>
          <w:p w14:paraId="72F89FBD">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下水道阻流袋，排水井保护垫，沟渠密封袋</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充气式堵水气囊</w:t>
            </w:r>
          </w:p>
        </w:tc>
        <w:tc>
          <w:tcPr>
            <w:tcW w:w="108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6E0271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p>
        </w:tc>
      </w:tr>
      <w:tr w14:paraId="5017B822">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5371" w:hRule="atLeast"/>
        </w:trPr>
        <w:tc>
          <w:tcPr>
            <w:tcW w:w="148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88092D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污染物控制</w:t>
            </w:r>
          </w:p>
        </w:tc>
        <w:tc>
          <w:tcPr>
            <w:tcW w:w="573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25B83A9">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围油栏（常规围油栏、橡胶围油栏、PVC围油栏、防火围油栏）</w:t>
            </w:r>
          </w:p>
          <w:p w14:paraId="6EF8DE67">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浮桶（聚乙烯浮桶、拦污浮桶、管道浮桶、泡沫浮桶、警示浮球）</w:t>
            </w:r>
          </w:p>
          <w:p w14:paraId="0E27D9A2">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水工材料（土工布、土工膜、彩条布、钢丝格栅、导流管件）</w:t>
            </w:r>
          </w:p>
        </w:tc>
        <w:tc>
          <w:tcPr>
            <w:tcW w:w="108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6A3096E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p>
        </w:tc>
      </w:tr>
      <w:tr w14:paraId="10772BF0">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3128" w:hRule="atLeast"/>
        </w:trPr>
        <w:tc>
          <w:tcPr>
            <w:tcW w:w="148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C81038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污染物收集</w:t>
            </w:r>
          </w:p>
        </w:tc>
        <w:tc>
          <w:tcPr>
            <w:tcW w:w="573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0C18ACC">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收油机，潜水泵（包括防爆潜水泵）</w:t>
            </w:r>
          </w:p>
          <w:p w14:paraId="3560AF48">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吸油毡、吸油棉，吸污卷、吸污袋</w:t>
            </w:r>
          </w:p>
          <w:p w14:paraId="5AF718C4">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吨桶、油囊、储罐</w:t>
            </w:r>
          </w:p>
        </w:tc>
        <w:tc>
          <w:tcPr>
            <w:tcW w:w="108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964B04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p>
        </w:tc>
      </w:tr>
      <w:tr w14:paraId="1C9085B0">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10072" w:hRule="atLeast"/>
        </w:trPr>
        <w:tc>
          <w:tcPr>
            <w:tcW w:w="148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B1A84F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污染物降解</w:t>
            </w:r>
          </w:p>
        </w:tc>
        <w:tc>
          <w:tcPr>
            <w:tcW w:w="573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4A228A0">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溶药装置：搅拌机、搅拌桨</w:t>
            </w:r>
          </w:p>
          <w:p w14:paraId="74310EFF">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加药装置：水泵、阀门、流量计，加药管</w:t>
            </w:r>
          </w:p>
          <w:p w14:paraId="70C4D8C9">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水污染、大气污染、固体废物处理一体化装置</w:t>
            </w:r>
          </w:p>
          <w:p w14:paraId="43C6D8EF">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吸附剂：活性炭、硅胶、矾土、白土、膨润土、沸石</w:t>
            </w:r>
          </w:p>
          <w:p w14:paraId="4CE01EEA">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中和剂：硫酸、盐酸、硝酸，碳酸钠、碳酸氢钠、氢氧化钙、氢氧化钠、氧化钙</w:t>
            </w:r>
          </w:p>
          <w:p w14:paraId="1CEEF806">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絮凝剂：聚丙烯酰胺、三氯化铁、聚合氯化铝、聚合硫酸铁</w:t>
            </w:r>
          </w:p>
          <w:p w14:paraId="7CCF7588">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氧化还原剂：双氧水、高锰酸钾、次氯酸钠，焦亚硫酸钠、亚硫酸氢钠、硫酸亚铁</w:t>
            </w:r>
          </w:p>
          <w:p w14:paraId="45C4B368">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沉淀剂：硫化钠</w:t>
            </w:r>
          </w:p>
        </w:tc>
        <w:tc>
          <w:tcPr>
            <w:tcW w:w="108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7D35B7D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p>
        </w:tc>
      </w:tr>
      <w:tr w14:paraId="24615B16">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48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C55E45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安全防护</w:t>
            </w:r>
          </w:p>
        </w:tc>
        <w:tc>
          <w:tcPr>
            <w:tcW w:w="573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CDA25D9">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预警装置</w:t>
            </w:r>
          </w:p>
          <w:p w14:paraId="1127B9DF">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防毒面具、防化服、防化靴、防化手套、防化护目镜、防辐射服</w:t>
            </w:r>
          </w:p>
          <w:p w14:paraId="43A99942">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氧气（空气）呼吸器、呼吸面具</w:t>
            </w:r>
          </w:p>
          <w:p w14:paraId="4BB44C2F">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安全帽、手套、安全鞋、工作服、安全警示背心、安全绳</w:t>
            </w:r>
          </w:p>
          <w:p w14:paraId="5D7B11B7">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碘片等</w:t>
            </w:r>
          </w:p>
        </w:tc>
        <w:tc>
          <w:tcPr>
            <w:tcW w:w="108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DEBC36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p>
        </w:tc>
      </w:tr>
      <w:tr w14:paraId="14BB6428">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48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56E15D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应急通信</w:t>
            </w:r>
          </w:p>
          <w:p w14:paraId="0C7483E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和指挥</w:t>
            </w:r>
          </w:p>
        </w:tc>
        <w:tc>
          <w:tcPr>
            <w:tcW w:w="573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1663E0C">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应急指挥及信息系统</w:t>
            </w:r>
          </w:p>
          <w:p w14:paraId="7AA1B480">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应急指挥车、应急指挥船</w:t>
            </w:r>
          </w:p>
          <w:p w14:paraId="58BEB5BC">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对讲机、定位仪</w:t>
            </w:r>
          </w:p>
          <w:p w14:paraId="6B3F7AD4">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海事卫星视频传输系统及单兵系统等</w:t>
            </w:r>
          </w:p>
        </w:tc>
        <w:tc>
          <w:tcPr>
            <w:tcW w:w="108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5FBAB0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p>
        </w:tc>
      </w:tr>
      <w:tr w14:paraId="41314AF0">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48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1ACB0C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环境监测</w:t>
            </w:r>
          </w:p>
        </w:tc>
        <w:tc>
          <w:tcPr>
            <w:tcW w:w="573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49CDABE">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采样设备</w:t>
            </w:r>
          </w:p>
          <w:p w14:paraId="7475E84C">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便携式监测设备</w:t>
            </w:r>
          </w:p>
          <w:p w14:paraId="736B7312">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应急监测车（船）</w:t>
            </w:r>
          </w:p>
          <w:p w14:paraId="621E033D">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无人机（船）</w:t>
            </w:r>
          </w:p>
        </w:tc>
        <w:tc>
          <w:tcPr>
            <w:tcW w:w="108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16D6B6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具体可参考环境应急监测装备推荐配置表等</w:t>
            </w:r>
          </w:p>
        </w:tc>
      </w:tr>
    </w:tbl>
    <w:p w14:paraId="65E7E3C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注：化工企业应急物资库物资配备依据《危险化学品单位应急救援物资配备要求》（GB30077-2013）。该标准中规定了危险化学品单位应急救援物资的配备原则，应急救援队伍配备要求、其他配备要求和管理维护。</w:t>
      </w:r>
    </w:p>
    <w:p w14:paraId="7D8E0E0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应急救援队伍应急救援人员的个人防护装备配备标准应符合表</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的要求。</w:t>
      </w:r>
    </w:p>
    <w:p w14:paraId="6D4FA57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 xml:space="preserve"> 应急救援人员个体防护装备配备标准</w:t>
      </w:r>
    </w:p>
    <w:tbl>
      <w:tblPr>
        <w:tblStyle w:val="3"/>
        <w:tblW w:w="0" w:type="auto"/>
        <w:tblInd w:w="0" w:type="dxa"/>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fixed"/>
        <w:tblCellMar>
          <w:top w:w="0" w:type="dxa"/>
          <w:left w:w="10" w:type="dxa"/>
          <w:bottom w:w="0" w:type="dxa"/>
          <w:right w:w="10" w:type="dxa"/>
        </w:tblCellMar>
      </w:tblPr>
      <w:tblGrid>
        <w:gridCol w:w="405"/>
        <w:gridCol w:w="1485"/>
        <w:gridCol w:w="2865"/>
        <w:gridCol w:w="795"/>
        <w:gridCol w:w="863"/>
        <w:gridCol w:w="1852"/>
      </w:tblGrid>
      <w:tr w14:paraId="15EB2838">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40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5D59DF6">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序号</w:t>
            </w:r>
          </w:p>
        </w:tc>
        <w:tc>
          <w:tcPr>
            <w:tcW w:w="148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03CB0E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名称</w:t>
            </w:r>
          </w:p>
        </w:tc>
        <w:tc>
          <w:tcPr>
            <w:tcW w:w="286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B98E7B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主要用途</w:t>
            </w:r>
          </w:p>
        </w:tc>
        <w:tc>
          <w:tcPr>
            <w:tcW w:w="79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38AE38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配备</w:t>
            </w:r>
          </w:p>
        </w:tc>
        <w:tc>
          <w:tcPr>
            <w:tcW w:w="863"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068D64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备份比</w:t>
            </w:r>
          </w:p>
        </w:tc>
        <w:tc>
          <w:tcPr>
            <w:tcW w:w="1852"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758568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备注</w:t>
            </w:r>
          </w:p>
        </w:tc>
      </w:tr>
      <w:tr w14:paraId="3F146810">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40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7956C7E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p>
        </w:tc>
        <w:tc>
          <w:tcPr>
            <w:tcW w:w="148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9B17E5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消防头盔</w:t>
            </w:r>
          </w:p>
        </w:tc>
        <w:tc>
          <w:tcPr>
            <w:tcW w:w="286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6B21629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头部、面部及颈部的安全防护</w:t>
            </w:r>
          </w:p>
        </w:tc>
        <w:tc>
          <w:tcPr>
            <w:tcW w:w="79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0E16EA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1顶/人</w:t>
            </w:r>
          </w:p>
        </w:tc>
        <w:tc>
          <w:tcPr>
            <w:tcW w:w="863"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79D4F9E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4:1</w:t>
            </w:r>
          </w:p>
        </w:tc>
        <w:tc>
          <w:tcPr>
            <w:tcW w:w="1852"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7DDB48F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p>
        </w:tc>
      </w:tr>
      <w:tr w14:paraId="37F25E8C">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40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6AA57A3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w:t>
            </w:r>
          </w:p>
        </w:tc>
        <w:tc>
          <w:tcPr>
            <w:tcW w:w="148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7CCCA8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二级化学防护服装</w:t>
            </w:r>
          </w:p>
        </w:tc>
        <w:tc>
          <w:tcPr>
            <w:tcW w:w="286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D9010A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化学灾害现场作业时的躯体防护</w:t>
            </w:r>
          </w:p>
        </w:tc>
        <w:tc>
          <w:tcPr>
            <w:tcW w:w="79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E319F7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1套/10人</w:t>
            </w:r>
          </w:p>
        </w:tc>
        <w:tc>
          <w:tcPr>
            <w:tcW w:w="863"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F4D677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4:1</w:t>
            </w:r>
          </w:p>
        </w:tc>
        <w:tc>
          <w:tcPr>
            <w:tcW w:w="1852"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B8F1E4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（1）以值勤人员数量确定</w:t>
            </w:r>
          </w:p>
          <w:p w14:paraId="31E2B8D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（2）至少配备2套</w:t>
            </w:r>
          </w:p>
        </w:tc>
      </w:tr>
      <w:tr w14:paraId="7063369A">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40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2DB47B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w:t>
            </w:r>
          </w:p>
        </w:tc>
        <w:tc>
          <w:tcPr>
            <w:tcW w:w="148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E0ADF4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一级化学防护服装</w:t>
            </w:r>
          </w:p>
        </w:tc>
        <w:tc>
          <w:tcPr>
            <w:tcW w:w="286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B439B4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重度化学灾害现场全身防护</w:t>
            </w:r>
          </w:p>
        </w:tc>
        <w:tc>
          <w:tcPr>
            <w:tcW w:w="79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5B65DB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p>
        </w:tc>
        <w:tc>
          <w:tcPr>
            <w:tcW w:w="863"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0E9E77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p>
        </w:tc>
        <w:tc>
          <w:tcPr>
            <w:tcW w:w="1852"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715CDD8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p>
        </w:tc>
      </w:tr>
      <w:tr w14:paraId="1BCA2905">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2754" w:hRule="atLeast"/>
        </w:trPr>
        <w:tc>
          <w:tcPr>
            <w:tcW w:w="40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3C22BE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w:t>
            </w:r>
          </w:p>
        </w:tc>
        <w:tc>
          <w:tcPr>
            <w:tcW w:w="148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B76FD5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灭火防护服</w:t>
            </w:r>
          </w:p>
        </w:tc>
        <w:tc>
          <w:tcPr>
            <w:tcW w:w="286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285A04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灭火救援作业时的身体防护</w:t>
            </w:r>
          </w:p>
        </w:tc>
        <w:tc>
          <w:tcPr>
            <w:tcW w:w="79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033CBE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1套/人</w:t>
            </w:r>
          </w:p>
        </w:tc>
        <w:tc>
          <w:tcPr>
            <w:tcW w:w="863"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A07DF6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3:1</w:t>
            </w:r>
          </w:p>
        </w:tc>
        <w:tc>
          <w:tcPr>
            <w:tcW w:w="1852"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BC27A9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指挥员可选配消防指挥服</w:t>
            </w:r>
          </w:p>
        </w:tc>
      </w:tr>
      <w:tr w14:paraId="0B149B09">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40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338DC7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w:t>
            </w:r>
          </w:p>
        </w:tc>
        <w:tc>
          <w:tcPr>
            <w:tcW w:w="148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DF3C45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防静电内衣</w:t>
            </w:r>
          </w:p>
        </w:tc>
        <w:tc>
          <w:tcPr>
            <w:tcW w:w="286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8C1DEC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可燃气体、粉尘、蒸汽等易燃易爆场所作业时的躯体内层防护</w:t>
            </w:r>
          </w:p>
        </w:tc>
        <w:tc>
          <w:tcPr>
            <w:tcW w:w="79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039B25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1套/人</w:t>
            </w:r>
          </w:p>
        </w:tc>
        <w:tc>
          <w:tcPr>
            <w:tcW w:w="863"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A312B3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4:1</w:t>
            </w:r>
          </w:p>
        </w:tc>
        <w:tc>
          <w:tcPr>
            <w:tcW w:w="1852"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67C0B66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p>
        </w:tc>
      </w:tr>
      <w:tr w14:paraId="2272360D">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40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84F86D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w:t>
            </w:r>
          </w:p>
        </w:tc>
        <w:tc>
          <w:tcPr>
            <w:tcW w:w="148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731847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防化手套</w:t>
            </w:r>
          </w:p>
        </w:tc>
        <w:tc>
          <w:tcPr>
            <w:tcW w:w="286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71F022D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手部及腕部防护</w:t>
            </w:r>
          </w:p>
        </w:tc>
        <w:tc>
          <w:tcPr>
            <w:tcW w:w="79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15DAEF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2副/人</w:t>
            </w:r>
          </w:p>
        </w:tc>
        <w:tc>
          <w:tcPr>
            <w:tcW w:w="863"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6A63DDB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p>
        </w:tc>
        <w:tc>
          <w:tcPr>
            <w:tcW w:w="1852"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710EFE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p>
        </w:tc>
      </w:tr>
      <w:tr w14:paraId="4057C9B7">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40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653B35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w:t>
            </w:r>
          </w:p>
        </w:tc>
        <w:tc>
          <w:tcPr>
            <w:tcW w:w="148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78231A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防化靴</w:t>
            </w:r>
          </w:p>
        </w:tc>
        <w:tc>
          <w:tcPr>
            <w:tcW w:w="286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97C61D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事故现场作业时的脚部和小腿部防护</w:t>
            </w:r>
          </w:p>
        </w:tc>
        <w:tc>
          <w:tcPr>
            <w:tcW w:w="79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1A86BF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1双/人</w:t>
            </w:r>
          </w:p>
        </w:tc>
        <w:tc>
          <w:tcPr>
            <w:tcW w:w="863"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46E70C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4:1</w:t>
            </w:r>
          </w:p>
        </w:tc>
        <w:tc>
          <w:tcPr>
            <w:tcW w:w="1852"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072EA3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易燃易爆场所应配备防静电靴</w:t>
            </w:r>
          </w:p>
        </w:tc>
      </w:tr>
      <w:tr w14:paraId="047A7BC0">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40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6883998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8</w:t>
            </w:r>
          </w:p>
        </w:tc>
        <w:tc>
          <w:tcPr>
            <w:tcW w:w="148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73A4A31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安全腰带</w:t>
            </w:r>
          </w:p>
        </w:tc>
        <w:tc>
          <w:tcPr>
            <w:tcW w:w="286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8E65A1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登梯作业和逃生自救</w:t>
            </w:r>
          </w:p>
        </w:tc>
        <w:tc>
          <w:tcPr>
            <w:tcW w:w="79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B56F5A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1根/人</w:t>
            </w:r>
          </w:p>
        </w:tc>
        <w:tc>
          <w:tcPr>
            <w:tcW w:w="863"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D797DD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4:1</w:t>
            </w:r>
          </w:p>
        </w:tc>
        <w:tc>
          <w:tcPr>
            <w:tcW w:w="1852"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6B24D99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p>
        </w:tc>
      </w:tr>
      <w:tr w14:paraId="27B9EA1A">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40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F7B205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9</w:t>
            </w:r>
          </w:p>
        </w:tc>
        <w:tc>
          <w:tcPr>
            <w:tcW w:w="148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0B7847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正压式空气呼吸器</w:t>
            </w:r>
          </w:p>
        </w:tc>
        <w:tc>
          <w:tcPr>
            <w:tcW w:w="286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6619FE1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缺氧或有毒现场作业时的呼吸防护</w:t>
            </w:r>
          </w:p>
        </w:tc>
        <w:tc>
          <w:tcPr>
            <w:tcW w:w="79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02DA97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1具/人</w:t>
            </w:r>
          </w:p>
        </w:tc>
        <w:tc>
          <w:tcPr>
            <w:tcW w:w="863"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338528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5:1</w:t>
            </w:r>
          </w:p>
        </w:tc>
        <w:tc>
          <w:tcPr>
            <w:tcW w:w="1852"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382412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1）以值勤人员数量确定</w:t>
            </w:r>
          </w:p>
          <w:p w14:paraId="794412A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2）备用气瓶按照正压式空气呼吸器总量1:1备份</w:t>
            </w:r>
          </w:p>
        </w:tc>
      </w:tr>
      <w:tr w14:paraId="245B1BE3">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40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7CA7BC8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10</w:t>
            </w:r>
          </w:p>
        </w:tc>
        <w:tc>
          <w:tcPr>
            <w:tcW w:w="148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6EF488F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佩戴式防爆照明灯</w:t>
            </w:r>
          </w:p>
        </w:tc>
        <w:tc>
          <w:tcPr>
            <w:tcW w:w="286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7B297BC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单人作业照明</w:t>
            </w:r>
          </w:p>
        </w:tc>
        <w:tc>
          <w:tcPr>
            <w:tcW w:w="79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69259C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1个/人</w:t>
            </w:r>
          </w:p>
        </w:tc>
        <w:tc>
          <w:tcPr>
            <w:tcW w:w="863"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20684B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5:1</w:t>
            </w:r>
          </w:p>
        </w:tc>
        <w:tc>
          <w:tcPr>
            <w:tcW w:w="1852"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E83BA6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p>
        </w:tc>
      </w:tr>
      <w:tr w14:paraId="085735A6">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40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719C39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11</w:t>
            </w:r>
          </w:p>
        </w:tc>
        <w:tc>
          <w:tcPr>
            <w:tcW w:w="148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9E7C72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轻型安全绳</w:t>
            </w:r>
          </w:p>
        </w:tc>
        <w:tc>
          <w:tcPr>
            <w:tcW w:w="286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281C82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救援人员的救生、自救和逃生</w:t>
            </w:r>
          </w:p>
        </w:tc>
        <w:tc>
          <w:tcPr>
            <w:tcW w:w="79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B64B98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1根/人</w:t>
            </w:r>
          </w:p>
        </w:tc>
        <w:tc>
          <w:tcPr>
            <w:tcW w:w="863"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7FECFFF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4:1</w:t>
            </w:r>
          </w:p>
        </w:tc>
        <w:tc>
          <w:tcPr>
            <w:tcW w:w="1852"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8B4DE8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p>
        </w:tc>
      </w:tr>
      <w:tr w14:paraId="145EF419">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40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5FD82B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12</w:t>
            </w:r>
          </w:p>
        </w:tc>
        <w:tc>
          <w:tcPr>
            <w:tcW w:w="148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628FE76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消防腰斧</w:t>
            </w:r>
          </w:p>
        </w:tc>
        <w:tc>
          <w:tcPr>
            <w:tcW w:w="286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F64860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破拆和自救</w:t>
            </w:r>
          </w:p>
        </w:tc>
        <w:tc>
          <w:tcPr>
            <w:tcW w:w="79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799E459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1把/人</w:t>
            </w:r>
          </w:p>
        </w:tc>
        <w:tc>
          <w:tcPr>
            <w:tcW w:w="863"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66C573D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5:1</w:t>
            </w:r>
          </w:p>
        </w:tc>
        <w:tc>
          <w:tcPr>
            <w:tcW w:w="1852"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65F424F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p>
        </w:tc>
      </w:tr>
      <w:tr w14:paraId="7686810C">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8265" w:type="dxa"/>
            <w:gridSpan w:val="6"/>
            <w:tcBorders>
              <w:top w:val="single" w:color="auto" w:sz="4" w:space="0"/>
            </w:tcBorders>
            <w:tcMar>
              <w:top w:w="60" w:type="dxa"/>
              <w:left w:w="120" w:type="dxa"/>
              <w:bottom w:w="30" w:type="dxa"/>
              <w:right w:w="120" w:type="dxa"/>
            </w:tcMar>
          </w:tcPr>
          <w:p w14:paraId="6DCE719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注1：表中“备份比”是指应急救援人员防护装备配备投入使用数量与备用数量之比。</w:t>
            </w:r>
          </w:p>
          <w:p w14:paraId="501E3EB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注2：根据备份比计算的备份数量为非整数时应向上取整。</w:t>
            </w:r>
          </w:p>
        </w:tc>
      </w:tr>
    </w:tbl>
    <w:p w14:paraId="1C7D5A49">
      <w:pPr>
        <w:keepNext w:val="0"/>
        <w:keepLines w:val="0"/>
        <w:pageBreakBefore w:val="0"/>
        <w:widowControl w:val="0"/>
        <w:kinsoku/>
        <w:wordWrap/>
        <w:overflowPunct/>
        <w:topLinePunct w:val="0"/>
        <w:autoSpaceDE/>
        <w:autoSpaceDN/>
        <w:bidi w:val="0"/>
        <w:adjustRightInd/>
        <w:snapToGrid/>
        <w:spacing w:line="560" w:lineRule="exact"/>
        <w:ind w:firstLine="320" w:firstLineChars="100"/>
        <w:textAlignment w:val="auto"/>
        <w:rPr>
          <w:rFonts w:hint="default" w:ascii="Times New Roman" w:hAnsi="Times New Roman" w:eastAsia="黑体" w:cs="Times New Roman"/>
          <w:sz w:val="32"/>
          <w:szCs w:val="32"/>
          <w:lang w:eastAsia="zh-CN"/>
        </w:rPr>
      </w:pPr>
      <w:bookmarkStart w:id="90" w:name="heading_95"/>
      <w:r>
        <w:rPr>
          <w:rFonts w:hint="eastAsia" w:ascii="Times New Roman" w:hAnsi="Times New Roman" w:eastAsia="黑体" w:cs="Times New Roman"/>
          <w:sz w:val="32"/>
          <w:szCs w:val="32"/>
          <w:lang w:eastAsia="zh-CN"/>
        </w:rPr>
        <w:t>二、</w:t>
      </w:r>
      <w:r>
        <w:rPr>
          <w:rFonts w:hint="default" w:ascii="Times New Roman" w:hAnsi="Times New Roman" w:eastAsia="黑体" w:cs="Times New Roman"/>
          <w:sz w:val="32"/>
          <w:szCs w:val="32"/>
          <w:lang w:eastAsia="zh-CN"/>
        </w:rPr>
        <w:t>环境应急队伍</w:t>
      </w:r>
      <w:bookmarkEnd w:id="90"/>
    </w:p>
    <w:p w14:paraId="4DDADA6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肃南县突发生态环境事件应急指挥体系由突发生态环境事件应急指挥部（领导组）、现场应急指挥部、现场应急工作组（污染处置组、应急监测组、医学救援组、应急保障组、新闻宣传组、社会稳定组、调查评估组、应急专家组）等三级体系组成。</w:t>
      </w:r>
    </w:p>
    <w:p w14:paraId="4775C577">
      <w:pPr>
        <w:kinsoku w:val="0"/>
        <w:overflowPunct w:val="0"/>
        <w:autoSpaceDE w:val="0"/>
        <w:autoSpaceDN w:val="0"/>
        <w:adjustRightInd w:val="0"/>
        <w:snapToGrid w:val="0"/>
        <w:spacing w:line="360" w:lineRule="auto"/>
        <w:ind w:firstLine="560"/>
        <w:rPr>
          <w:rFonts w:hint="default"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环境应急组织机构图见图1。</w:t>
      </w:r>
    </w:p>
    <w:p w14:paraId="404EE19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p w14:paraId="44630CA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p w14:paraId="43F7C4A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p w14:paraId="36A0122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p w14:paraId="7A8C32F3">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p w14:paraId="6215C8F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p w14:paraId="582ACBE7">
      <w:pPr>
        <w:keepNext w:val="0"/>
        <w:keepLines w:val="0"/>
        <w:pageBreakBefore w:val="0"/>
        <w:widowControl w:val="0"/>
        <w:kinsoku/>
        <w:wordWrap/>
        <w:overflowPunct/>
        <w:topLinePunct w:val="0"/>
        <w:autoSpaceDE/>
        <w:autoSpaceDN/>
        <w:bidi w:val="0"/>
        <w:adjustRightInd/>
        <w:snapToGrid/>
        <w:spacing w:line="560" w:lineRule="exact"/>
        <w:ind w:firstLine="400" w:firstLineChars="200"/>
        <w:textAlignment w:val="auto"/>
        <w:rPr>
          <w:rFonts w:hint="default" w:ascii="Times New Roman" w:hAnsi="Times New Roman" w:eastAsia="仿宋_GB2312" w:cs="Times New Roman"/>
          <w:sz w:val="32"/>
          <w:szCs w:val="32"/>
        </w:rPr>
      </w:pPr>
      <w:r>
        <w:rPr>
          <w:rFonts w:hint="default" w:ascii="Times New Roman" w:hAnsi="Times New Roman" w:eastAsia="仿宋" w:cs="Times New Roman"/>
          <w:color w:val="000000"/>
          <w:kern w:val="0"/>
          <w:sz w:val="20"/>
          <w:szCs w:val="20"/>
        </w:rPr>
        <w:pict>
          <v:group id="画布 253" o:spid="_x0000_s2050" o:spt="203" style="position:absolute;left:0pt;margin-left:-27.75pt;margin-top:7.75pt;height:599.35pt;width:506.5pt;z-index:251659264;mso-width-relative:page;mso-height-relative:page;" coordsize="6432549,7611745" editas="canvas">
            <o:lock v:ext="edit"/>
            <v:rect id="画布 253" o:spid="_x0000_s2051" o:spt="1" style="position:absolute;left:0;top:0;height:7611745;width:6432549;" filled="f" stroked="f" coordsize="21600,21600">
              <v:path/>
              <v:fill on="f" focussize="0,0"/>
              <v:stroke on="f"/>
              <v:imagedata o:title=""/>
              <o:lock v:ext="edit" aspectratio="t"/>
            </v:rect>
            <v:group id="组合 252" o:spid="_x0000_s2052" o:spt="203" style="position:absolute;left:67945;top:120650;height:7393305;width:6226809;" coordorigin="272,263" coordsize="10012,11036" o:gfxdata="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">
              <o:lock v:ext="edit" aspectratio="f"/>
              <v:shape id="文本框 197" o:spid="_x0000_s2053" o:spt="202" type="#_x0000_t202" style="position:absolute;left:4061;top:263;height:426;width:2474;" filled="f" stroked="t" coordsize="21600,21600" o:gfxdata="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P9bFu/&#10;AAAA3AAAAA8AAAAAAAAAAQAgAAAAIgAAAGRycy9kb3ducmV2LnhtbFBLAQIUABQAAAAIAIdO4kAz&#10;LwWeOwAAADkAAAAQAAAAAAAAAAEAIAAAAA4BAABkcnMvc2hhcGV4bWwueG1sUEsFBgAAAAAGAAYA&#10;WwEAALgDAAAAAA==&#10;">
                <v:path/>
                <v:fill on="f" focussize="0,0"/>
                <v:stroke color="#000000" joinstyle="miter"/>
                <v:imagedata o:title=""/>
                <o:lock v:ext="edit" aspectratio="f"/>
                <v:textbox>
                  <w:txbxContent>
                    <w:p w14:paraId="0596541F">
                      <w:pPr>
                        <w:spacing w:line="260" w:lineRule="exact"/>
                        <w:ind w:firstLine="0" w:firstLineChars="0"/>
                        <w:jc w:val="center"/>
                        <w:rPr>
                          <w:rFonts w:hint="eastAsia" w:ascii="Times New Roman" w:hAnsi="Times New Roman" w:eastAsia="宋体" w:cs="Times New Roman"/>
                          <w:kern w:val="0"/>
                          <w:sz w:val="20"/>
                          <w:szCs w:val="20"/>
                        </w:rPr>
                      </w:pPr>
                      <w:r>
                        <w:rPr>
                          <w:rFonts w:hint="eastAsia" w:ascii="仿宋" w:hAnsi="仿宋" w:eastAsia="仿宋" w:cs="Times New Roman"/>
                          <w:kern w:val="0"/>
                          <w:sz w:val="18"/>
                          <w:szCs w:val="18"/>
                        </w:rPr>
                        <w:t>突发环境事件应急领导小组</w:t>
                      </w:r>
                    </w:p>
                  </w:txbxContent>
                </v:textbox>
              </v:shape>
              <v:shape id="文本框 198" o:spid="_x0000_s2054" o:spt="202" type="#_x0000_t202" style="position:absolute;left:4079;top:1199;height:426;width:2474;" filled="f" stroked="t" coordsize="21600,21600" o:gfxdata="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mL4Kb4A&#10;AADcAAAADwAAAAAAAAABACAAAAAiAAAAZHJzL2Rvd25yZXYueG1sUEsBAhQAFAAAAAgAh07iQDMv&#10;BZ47AAAAOQAAABAAAAAAAAAAAQAgAAAADQEAAGRycy9zaGFwZXhtbC54bWxQSwUGAAAAAAYABgBb&#10;AQAAtwMAAAAA&#10;">
                <v:path/>
                <v:fill on="f" focussize="0,0"/>
                <v:stroke color="#000000" joinstyle="miter"/>
                <v:imagedata o:title=""/>
                <o:lock v:ext="edit" aspectratio="f"/>
                <v:textbox>
                  <w:txbxContent>
                    <w:p w14:paraId="56A130D3">
                      <w:pPr>
                        <w:spacing w:line="260" w:lineRule="exact"/>
                        <w:ind w:firstLine="0" w:firstLineChars="0"/>
                        <w:jc w:val="center"/>
                        <w:rPr>
                          <w:rFonts w:hint="eastAsia" w:ascii="Times New Roman" w:hAnsi="Times New Roman" w:eastAsia="宋体" w:cs="Times New Roman"/>
                          <w:kern w:val="0"/>
                          <w:sz w:val="20"/>
                          <w:szCs w:val="20"/>
                        </w:rPr>
                      </w:pPr>
                      <w:r>
                        <w:rPr>
                          <w:rFonts w:hint="eastAsia" w:ascii="仿宋" w:hAnsi="仿宋" w:eastAsia="仿宋" w:cs="Times New Roman"/>
                          <w:kern w:val="0"/>
                          <w:sz w:val="18"/>
                          <w:szCs w:val="18"/>
                        </w:rPr>
                        <w:t>现场应急</w:t>
                      </w:r>
                      <w:r>
                        <w:rPr>
                          <w:rFonts w:ascii="仿宋" w:hAnsi="仿宋" w:eastAsia="仿宋" w:cs="Times New Roman"/>
                          <w:kern w:val="0"/>
                          <w:sz w:val="18"/>
                          <w:szCs w:val="18"/>
                        </w:rPr>
                        <w:t>指挥部</w:t>
                      </w:r>
                    </w:p>
                    <w:p w14:paraId="40CC8920">
                      <w:pPr>
                        <w:spacing w:line="240" w:lineRule="auto"/>
                        <w:ind w:firstLine="0" w:firstLineChars="0"/>
                        <w:rPr>
                          <w:rFonts w:ascii="Times New Roman" w:hAnsi="Times New Roman" w:eastAsia="宋体" w:cs="Times New Roman"/>
                          <w:kern w:val="0"/>
                          <w:sz w:val="20"/>
                          <w:szCs w:val="20"/>
                        </w:rPr>
                      </w:pPr>
                    </w:p>
                  </w:txbxContent>
                </v:textbox>
              </v:shape>
              <v:shape id="文本框 199" o:spid="_x0000_s2055" o:spt="202" type="#_x0000_t202" style="position:absolute;left:4064;top:2120;height:427;width:2474;" filled="f" stroked="t" coordsize="21600,21600" o:gfxdata="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dLl2yvQAA&#10;ANwAAAAPAAAAAAAAAAEAIAAAACIAAABkcnMvZG93bnJldi54bWxQSwECFAAUAAAACACHTuJAMy8F&#10;njsAAAA5AAAAEAAAAAAAAAABACAAAAAMAQAAZHJzL3NoYXBleG1sLnhtbFBLBQYAAAAABgAGAFsB&#10;AAC2AwAAAAA=&#10;">
                <v:path/>
                <v:fill on="f" focussize="0,0"/>
                <v:stroke color="#000000" joinstyle="miter"/>
                <v:imagedata o:title=""/>
                <o:lock v:ext="edit" aspectratio="f"/>
                <v:textbox>
                  <w:txbxContent>
                    <w:p w14:paraId="38940C77">
                      <w:pPr>
                        <w:spacing w:line="260" w:lineRule="exact"/>
                        <w:ind w:firstLine="0" w:firstLineChars="0"/>
                        <w:jc w:val="center"/>
                        <w:rPr>
                          <w:rFonts w:hint="eastAsia" w:ascii="Times New Roman" w:hAnsi="Times New Roman" w:eastAsia="宋体" w:cs="Times New Roman"/>
                          <w:kern w:val="0"/>
                          <w:sz w:val="20"/>
                          <w:szCs w:val="20"/>
                        </w:rPr>
                      </w:pPr>
                      <w:r>
                        <w:rPr>
                          <w:rFonts w:hint="eastAsia" w:ascii="仿宋" w:hAnsi="仿宋" w:eastAsia="仿宋" w:cs="Times New Roman"/>
                          <w:kern w:val="0"/>
                          <w:sz w:val="18"/>
                          <w:szCs w:val="18"/>
                        </w:rPr>
                        <w:t>现场应急工作组</w:t>
                      </w:r>
                    </w:p>
                    <w:p w14:paraId="07B3AB3A">
                      <w:pPr>
                        <w:spacing w:line="240" w:lineRule="auto"/>
                        <w:ind w:firstLine="0" w:firstLineChars="0"/>
                        <w:rPr>
                          <w:rFonts w:ascii="Times New Roman" w:hAnsi="Times New Roman" w:eastAsia="宋体" w:cs="Times New Roman"/>
                          <w:kern w:val="0"/>
                          <w:sz w:val="20"/>
                          <w:szCs w:val="20"/>
                        </w:rPr>
                      </w:pPr>
                    </w:p>
                  </w:txbxContent>
                </v:textbox>
              </v:shape>
              <v:shape id="直接箭头连接符 200" o:spid="_x0000_s2056" o:spt="32" type="#_x0000_t32" style="position:absolute;left:5297;top:698;height:485;width:1;" filled="f" stroked="t" coordsize="21600,21600" o:gfxdata="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Vmoc74A&#10;AADcAAAADwAAAAAAAAABACAAAAAiAAAAZHJzL2Rvd25yZXYueG1sUEsBAhQAFAAAAAgAh07iQDMv&#10;BZ47AAAAOQAAABAAAAAAAAAAAQAgAAAADQEAAGRycy9zaGFwZXhtbC54bWxQSwUGAAAAAAYABgBb&#10;AQAAtwMAAAAA&#10;">
                <v:path arrowok="t"/>
                <v:fill on="f" focussize="0,0"/>
                <v:stroke color="#000000" joinstyle="round" endarrow="block"/>
                <v:imagedata o:title=""/>
                <o:lock v:ext="edit" aspectratio="f"/>
              </v:shape>
              <v:shape id="直接箭头连接符 201" o:spid="_x0000_s2057" o:spt="32" type="#_x0000_t32" style="position:absolute;left:5301;top:1627;height:485;width:1;" filled="f" stroked="t" coordsize="21600,21600" o:gfxdata="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4VDei/&#10;AAAA3AAAAA8AAAAAAAAAAQAgAAAAIgAAAGRycy9kb3ducmV2LnhtbFBLAQIUABQAAAAIAIdO4kAz&#10;LwWeOwAAADkAAAAQAAAAAAAAAAEAIAAAAA4BAABkcnMvc2hhcGV4bWwueG1sUEsFBgAAAAAGAAYA&#10;WwEAALgDAAAAAA==&#10;">
                <v:path arrowok="t"/>
                <v:fill on="f" focussize="0,0"/>
                <v:stroke color="#000000" joinstyle="round" endarrow="block"/>
                <v:imagedata o:title=""/>
                <o:lock v:ext="edit" aspectratio="f"/>
              </v:shape>
              <v:shape id="直接箭头连接符 202" o:spid="_x0000_s2058" o:spt="32" type="#_x0000_t32" style="position:absolute;left:5301;top:2549;height:484;width:1;" filled="f" stroked="t" coordsize="21600,21600" o:gfxdata="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7Hk5+/&#10;AAAA3AAAAA8AAAAAAAAAAQAgAAAAIgAAAGRycy9kb3ducmV2LnhtbFBLAQIUABQAAAAIAIdO4kAz&#10;LwWeOwAAADkAAAAQAAAAAAAAAAEAIAAAAA4BAABkcnMvc2hhcGV4bWwueG1sUEsFBgAAAAAGAAYA&#10;WwEAALgDAAAAAA==&#10;">
                <v:path arrowok="t"/>
                <v:fill on="f" focussize="0,0"/>
                <v:stroke color="#000000" joinstyle="round" endarrow="block"/>
                <v:imagedata o:title=""/>
                <o:lock v:ext="edit" aspectratio="f"/>
              </v:shape>
              <v:shape id="直接箭头连接符 203" o:spid="_x0000_s2059" o:spt="32" type="#_x0000_t32" style="position:absolute;left:911;top:3027;height:0;width:8757;" filled="f" stroked="t" coordsize="21600,21600" o:gfxdata="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7TO9r4A&#10;AADcAAAADwAAAAAAAAABACAAAAAiAAAAZHJzL2Rvd25yZXYueG1sUEsBAhQAFAAAAAgAh07iQDMv&#10;BZ47AAAAOQAAABAAAAAAAAAAAQAgAAAADQEAAGRycy9zaGFwZXhtbC54bWxQSwUGAAAAAAYABgBb&#10;AQAAtwMAAAAA&#10;">
                <v:path arrowok="t"/>
                <v:fill on="f" focussize="0,0"/>
                <v:stroke color="#000000" joinstyle="round"/>
                <v:imagedata o:title=""/>
                <o:lock v:ext="edit" aspectratio="f"/>
              </v:shape>
              <v:shape id="直接箭头连接符 204" o:spid="_x0000_s2060" o:spt="32" type="#_x0000_t32" style="position:absolute;left:4658;top:3043;height:485;width:1;" filled="f" stroked="t" coordsize="21600,21600" o:gfxdata="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mKucL4A&#10;AADcAAAADwAAAAAAAAABACAAAAAiAAAAZHJzL2Rvd25yZXYueG1sUEsBAhQAFAAAAAgAh07iQDMv&#10;BZ47AAAAOQAAABAAAAAAAAAAAQAgAAAADQEAAGRycy9zaGFwZXhtbC54bWxQSwUGAAAAAAYABgBb&#10;AQAAtwMAAAAA&#10;">
                <v:path arrowok="t"/>
                <v:fill on="f" focussize="0,0"/>
                <v:stroke color="#000000" joinstyle="round" endarrow="block"/>
                <v:imagedata o:title=""/>
                <o:lock v:ext="edit" aspectratio="f"/>
              </v:shape>
              <v:shape id="文本框 205" o:spid="_x0000_s2061" o:spt="202" type="#_x0000_t202" style="position:absolute;left:654;top:3543;height:1540;width:509;" filled="f" stroked="t" coordsize="21600,21600" o:gfxdata="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0yjTL4A&#10;AADcAAAADwAAAAAAAAABACAAAAAiAAAAZHJzL2Rvd25yZXYueG1sUEsBAhQAFAAAAAgAh07iQDMv&#10;BZ47AAAAOQAAABAAAAAAAAAAAQAgAAAADQEAAGRycy9zaGFwZXhtbC54bWxQSwUGAAAAAAYABgBb&#10;AQAAtwMAAAAA&#10;">
                <v:path/>
                <v:fill on="f" focussize="0,0"/>
                <v:stroke color="#000000" joinstyle="miter"/>
                <v:imagedata o:title=""/>
                <o:lock v:ext="edit" aspectratio="f"/>
                <v:textbox>
                  <w:txbxContent>
                    <w:p w14:paraId="5E05EBA3">
                      <w:pPr>
                        <w:spacing w:line="260" w:lineRule="exact"/>
                        <w:ind w:firstLine="0" w:firstLineChars="0"/>
                        <w:jc w:val="center"/>
                        <w:rPr>
                          <w:rFonts w:ascii="仿宋" w:hAnsi="仿宋" w:eastAsia="仿宋" w:cs="Times New Roman"/>
                          <w:kern w:val="0"/>
                          <w:sz w:val="18"/>
                          <w:szCs w:val="18"/>
                        </w:rPr>
                      </w:pPr>
                      <w:r>
                        <w:rPr>
                          <w:rFonts w:hint="eastAsia" w:ascii="仿宋" w:hAnsi="仿宋" w:eastAsia="仿宋" w:cs="Times New Roman"/>
                          <w:kern w:val="0"/>
                          <w:sz w:val="18"/>
                          <w:szCs w:val="18"/>
                        </w:rPr>
                        <w:t>污染处置组</w:t>
                      </w:r>
                    </w:p>
                  </w:txbxContent>
                </v:textbox>
              </v:shape>
              <v:shape id="直接箭头连接符 206" o:spid="_x0000_s2062" o:spt="32" type="#_x0000_t32" style="position:absolute;left:925;top:3043;height:485;width:1;" filled="f" stroked="t" coordsize="21600,21600" o:gfxdata="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fyVnL4A&#10;AADcAAAADwAAAAAAAAABACAAAAAiAAAAZHJzL2Rvd25yZXYueG1sUEsBAhQAFAAAAAgAh07iQDMv&#10;BZ47AAAAOQAAABAAAAAAAAAAAQAgAAAADQEAAGRycy9zaGFwZXhtbC54bWxQSwUGAAAAAAYABgBb&#10;AQAAtwMAAAAA&#10;">
                <v:path arrowok="t"/>
                <v:fill on="f" focussize="0,0"/>
                <v:stroke color="#000000" joinstyle="round" endarrow="block"/>
                <v:imagedata o:title=""/>
                <o:lock v:ext="edit" aspectratio="f"/>
              </v:shape>
              <v:shape id="文本框 207" o:spid="_x0000_s2063" o:spt="202" type="#_x0000_t202" style="position:absolute;left:1907;top:3525;height:1540;width:509;" filled="f" stroked="t" coordsize="21600,21600" o:gfxdata="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w0pigvQAA&#10;ANwAAAAPAAAAAAAAAAEAIAAAACIAAABkcnMvZG93bnJldi54bWxQSwECFAAUAAAACACHTuJAMy8F&#10;njsAAAA5AAAAEAAAAAAAAAABACAAAAAMAQAAZHJzL3NoYXBleG1sLnhtbFBLBQYAAAAABgAGAFsB&#10;AAC2AwAAAAA=&#10;">
                <v:path/>
                <v:fill on="f" focussize="0,0"/>
                <v:stroke color="#000000" joinstyle="miter"/>
                <v:imagedata o:title=""/>
                <o:lock v:ext="edit" aspectratio="f"/>
                <v:textbox>
                  <w:txbxContent>
                    <w:p w14:paraId="057FEB9F">
                      <w:pPr>
                        <w:spacing w:line="260" w:lineRule="exact"/>
                        <w:ind w:firstLine="0" w:firstLineChars="0"/>
                        <w:jc w:val="center"/>
                        <w:rPr>
                          <w:rFonts w:ascii="仿宋" w:hAnsi="仿宋" w:eastAsia="仿宋" w:cs="Times New Roman"/>
                          <w:kern w:val="0"/>
                          <w:sz w:val="18"/>
                          <w:szCs w:val="18"/>
                        </w:rPr>
                      </w:pPr>
                      <w:r>
                        <w:rPr>
                          <w:rFonts w:hint="eastAsia" w:ascii="仿宋" w:hAnsi="仿宋" w:eastAsia="仿宋" w:cs="Times New Roman"/>
                          <w:kern w:val="0"/>
                          <w:sz w:val="18"/>
                          <w:szCs w:val="18"/>
                        </w:rPr>
                        <w:t>应急监测组</w:t>
                      </w:r>
                    </w:p>
                  </w:txbxContent>
                </v:textbox>
              </v:shape>
              <v:shape id="文本框 208" o:spid="_x0000_s2064" o:spt="202" type="#_x0000_t202" style="position:absolute;left:3154;top:3525;height:1540;width:510;" filled="f" stroked="t" coordsize="21600,21600" o:gfxdata="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U0M0r4A&#10;AADcAAAADwAAAAAAAAABACAAAAAiAAAAZHJzL2Rvd25yZXYueG1sUEsBAhQAFAAAAAgAh07iQDMv&#10;BZ47AAAAOQAAABAAAAAAAAAAAQAgAAAADQEAAGRycy9zaGFwZXhtbC54bWxQSwUGAAAAAAYABgBb&#10;AQAAtwMAAAAA&#10;">
                <v:path/>
                <v:fill on="f" focussize="0,0"/>
                <v:stroke color="#000000" joinstyle="miter"/>
                <v:imagedata o:title=""/>
                <o:lock v:ext="edit" aspectratio="f"/>
                <v:textbox>
                  <w:txbxContent>
                    <w:p w14:paraId="1EA32AF3">
                      <w:pPr>
                        <w:spacing w:line="260" w:lineRule="exact"/>
                        <w:ind w:firstLine="0" w:firstLineChars="0"/>
                        <w:jc w:val="center"/>
                        <w:rPr>
                          <w:rFonts w:ascii="仿宋" w:hAnsi="仿宋" w:eastAsia="仿宋" w:cs="Times New Roman"/>
                          <w:kern w:val="0"/>
                          <w:sz w:val="18"/>
                          <w:szCs w:val="18"/>
                        </w:rPr>
                      </w:pPr>
                      <w:r>
                        <w:rPr>
                          <w:rFonts w:hint="eastAsia" w:ascii="仿宋" w:hAnsi="仿宋" w:eastAsia="仿宋" w:cs="Times New Roman"/>
                          <w:kern w:val="0"/>
                          <w:sz w:val="18"/>
                          <w:szCs w:val="18"/>
                        </w:rPr>
                        <w:t>医学救援组</w:t>
                      </w:r>
                    </w:p>
                  </w:txbxContent>
                </v:textbox>
              </v:shape>
              <v:shape id="文本框 209" o:spid="_x0000_s2065" o:spt="202" type="#_x0000_t202" style="position:absolute;left:4404;top:3525;height:1540;width:510;" filled="f" stroked="t" coordsize="21600,21600" o:gfxdata="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gGpSb4A&#10;AADcAAAADwAAAAAAAAABACAAAAAiAAAAZHJzL2Rvd25yZXYueG1sUEsBAhQAFAAAAAgAh07iQDMv&#10;BZ47AAAAOQAAABAAAAAAAAAAAQAgAAAADQEAAGRycy9zaGFwZXhtbC54bWxQSwUGAAAAAAYABgBb&#10;AQAAtwMAAAAA&#10;">
                <v:path/>
                <v:fill on="f" focussize="0,0"/>
                <v:stroke color="#000000" joinstyle="miter"/>
                <v:imagedata o:title=""/>
                <o:lock v:ext="edit" aspectratio="f"/>
                <v:textbox>
                  <w:txbxContent>
                    <w:p w14:paraId="6AE4D702">
                      <w:pPr>
                        <w:spacing w:line="260" w:lineRule="exact"/>
                        <w:ind w:firstLine="0" w:firstLineChars="0"/>
                        <w:jc w:val="center"/>
                        <w:rPr>
                          <w:rFonts w:ascii="仿宋" w:hAnsi="仿宋" w:eastAsia="仿宋" w:cs="Times New Roman"/>
                          <w:kern w:val="0"/>
                          <w:sz w:val="18"/>
                          <w:szCs w:val="18"/>
                        </w:rPr>
                      </w:pPr>
                      <w:r>
                        <w:rPr>
                          <w:rFonts w:hint="eastAsia" w:ascii="仿宋" w:hAnsi="仿宋" w:eastAsia="仿宋" w:cs="Times New Roman"/>
                          <w:kern w:val="0"/>
                          <w:sz w:val="18"/>
                          <w:szCs w:val="18"/>
                        </w:rPr>
                        <w:t>应急保障组</w:t>
                      </w:r>
                    </w:p>
                  </w:txbxContent>
                </v:textbox>
              </v:shape>
              <v:shape id="文本框 210" o:spid="_x0000_s2066" o:spt="202" type="#_x0000_t202" style="position:absolute;left:5678;top:3525;height:1540;width:509;" filled="f" stroked="t" coordsize="21600,21600" o:gfxdata="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KWCb4A&#10;AADcAAAADwAAAAAAAAABACAAAAAiAAAAZHJzL2Rvd25yZXYueG1sUEsBAhQAFAAAAAgAh07iQDMv&#10;BZ47AAAAOQAAABAAAAAAAAAAAQAgAAAADQEAAGRycy9zaGFwZXhtbC54bWxQSwUGAAAAAAYABgBb&#10;AQAAtwMAAAAA&#10;">
                <v:path/>
                <v:fill on="f" focussize="0,0"/>
                <v:stroke color="#000000" joinstyle="miter"/>
                <v:imagedata o:title=""/>
                <o:lock v:ext="edit" aspectratio="f"/>
                <v:textbox>
                  <w:txbxContent>
                    <w:p w14:paraId="735D9761">
                      <w:pPr>
                        <w:spacing w:line="260" w:lineRule="exact"/>
                        <w:ind w:firstLine="0" w:firstLineChars="0"/>
                        <w:jc w:val="both"/>
                        <w:rPr>
                          <w:rFonts w:ascii="仿宋" w:hAnsi="仿宋" w:eastAsia="仿宋" w:cs="Times New Roman"/>
                          <w:kern w:val="0"/>
                          <w:sz w:val="18"/>
                          <w:szCs w:val="18"/>
                        </w:rPr>
                      </w:pPr>
                      <w:r>
                        <w:rPr>
                          <w:rFonts w:hint="eastAsia" w:ascii="仿宋" w:hAnsi="仿宋" w:eastAsia="仿宋" w:cs="Times New Roman"/>
                          <w:kern w:val="0"/>
                          <w:sz w:val="18"/>
                          <w:szCs w:val="18"/>
                        </w:rPr>
                        <w:t>新闻宣传组</w:t>
                      </w:r>
                    </w:p>
                  </w:txbxContent>
                </v:textbox>
              </v:shape>
              <v:shape id="文本框 211" o:spid="_x0000_s2067" o:spt="202" type="#_x0000_t202" style="position:absolute;left:6921;top:3526;height:1541;width:509;" filled="f" stroked="t" coordsize="21600,21600" o:gfxdata="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WuM5K/&#10;AAAA3AAAAA8AAAAAAAAAAQAgAAAAIgAAAGRycy9kb3ducmV2LnhtbFBLAQIUABQAAAAIAIdO4kAz&#10;LwWeOwAAADkAAAAQAAAAAAAAAAEAIAAAAA4BAABkcnMvc2hhcGV4bWwueG1sUEsFBgAAAAAGAAYA&#10;WwEAALgDAAAAAA==&#10;">
                <v:path/>
                <v:fill on="f" focussize="0,0"/>
                <v:stroke color="#000000" joinstyle="miter"/>
                <v:imagedata o:title=""/>
                <o:lock v:ext="edit" aspectratio="f"/>
                <v:textbox>
                  <w:txbxContent>
                    <w:p w14:paraId="76951707">
                      <w:pPr>
                        <w:spacing w:line="260" w:lineRule="exact"/>
                        <w:ind w:firstLine="0" w:firstLineChars="0"/>
                        <w:jc w:val="center"/>
                        <w:rPr>
                          <w:rFonts w:ascii="仿宋" w:hAnsi="仿宋" w:eastAsia="仿宋" w:cs="Times New Roman"/>
                          <w:kern w:val="0"/>
                          <w:sz w:val="18"/>
                          <w:szCs w:val="18"/>
                        </w:rPr>
                      </w:pPr>
                      <w:r>
                        <w:rPr>
                          <w:rFonts w:hint="eastAsia" w:ascii="仿宋" w:hAnsi="仿宋" w:eastAsia="仿宋" w:cs="Times New Roman"/>
                          <w:kern w:val="0"/>
                          <w:sz w:val="18"/>
                          <w:szCs w:val="18"/>
                        </w:rPr>
                        <w:t>社会稳定组</w:t>
                      </w:r>
                    </w:p>
                  </w:txbxContent>
                </v:textbox>
              </v:shape>
              <v:shape id="文本框 212" o:spid="_x0000_s2068" o:spt="202" type="#_x0000_t202" style="position:absolute;left:8183;top:3526;height:1541;width:509;" filled="f" stroked="t" coordsize="21600,21600" o:gfxdata="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V8reW/&#10;AAAA3AAAAA8AAAAAAAAAAQAgAAAAIgAAAGRycy9kb3ducmV2LnhtbFBLAQIUABQAAAAIAIdO4kAz&#10;LwWeOwAAADkAAAAQAAAAAAAAAAEAIAAAAA4BAABkcnMvc2hhcGV4bWwueG1sUEsFBgAAAAAGAAYA&#10;WwEAALgDAAAAAA==&#10;">
                <v:path/>
                <v:fill on="f" focussize="0,0"/>
                <v:stroke color="#000000" joinstyle="miter"/>
                <v:imagedata o:title=""/>
                <o:lock v:ext="edit" aspectratio="f"/>
                <v:textbox>
                  <w:txbxContent>
                    <w:p w14:paraId="7BB02EB1">
                      <w:pPr>
                        <w:spacing w:line="260" w:lineRule="exact"/>
                        <w:ind w:firstLine="0" w:firstLineChars="0"/>
                        <w:jc w:val="center"/>
                        <w:rPr>
                          <w:rFonts w:ascii="仿宋" w:hAnsi="仿宋" w:eastAsia="仿宋" w:cs="Times New Roman"/>
                          <w:kern w:val="0"/>
                          <w:sz w:val="18"/>
                          <w:szCs w:val="18"/>
                        </w:rPr>
                      </w:pPr>
                      <w:r>
                        <w:rPr>
                          <w:rFonts w:hint="eastAsia" w:ascii="仿宋" w:hAnsi="仿宋" w:eastAsia="仿宋" w:cs="Times New Roman"/>
                          <w:kern w:val="0"/>
                          <w:sz w:val="18"/>
                          <w:szCs w:val="18"/>
                        </w:rPr>
                        <w:t>调查评估组</w:t>
                      </w:r>
                    </w:p>
                  </w:txbxContent>
                </v:textbox>
              </v:shape>
              <v:shape id="文本框 213" o:spid="_x0000_s2069" o:spt="202" type="#_x0000_t202" style="position:absolute;left:9432;top:3543;height:1540;width:510;" filled="f" stroked="t" coordsize="21600,21600" o:gfxdata="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owCH6/&#10;AAAA3AAAAA8AAAAAAAAAAQAgAAAAIgAAAGRycy9kb3ducmV2LnhtbFBLAQIUABQAAAAIAIdO4kAz&#10;LwWeOwAAADkAAAAQAAAAAAAAAAEAIAAAAA4BAABkcnMvc2hhcGV4bWwueG1sUEsFBgAAAAAGAAYA&#10;WwEAALgDAAAAAA==&#10;">
                <v:path/>
                <v:fill on="f" focussize="0,0"/>
                <v:stroke color="#000000" joinstyle="miter"/>
                <v:imagedata o:title=""/>
                <o:lock v:ext="edit" aspectratio="f"/>
                <v:textbox>
                  <w:txbxContent>
                    <w:p w14:paraId="326E2A8F">
                      <w:pPr>
                        <w:spacing w:line="260" w:lineRule="exact"/>
                        <w:ind w:firstLine="0" w:firstLineChars="0"/>
                        <w:jc w:val="center"/>
                        <w:rPr>
                          <w:rFonts w:ascii="仿宋" w:hAnsi="仿宋" w:eastAsia="仿宋" w:cs="Times New Roman"/>
                          <w:kern w:val="0"/>
                          <w:sz w:val="18"/>
                          <w:szCs w:val="18"/>
                        </w:rPr>
                      </w:pPr>
                      <w:r>
                        <w:rPr>
                          <w:rFonts w:hint="eastAsia" w:ascii="仿宋" w:hAnsi="仿宋" w:eastAsia="仿宋" w:cs="Times New Roman"/>
                          <w:kern w:val="0"/>
                          <w:sz w:val="18"/>
                          <w:szCs w:val="18"/>
                        </w:rPr>
                        <w:t>应急专家组</w:t>
                      </w:r>
                    </w:p>
                  </w:txbxContent>
                </v:textbox>
              </v:shape>
              <v:shape id="直接箭头连接符 214" o:spid="_x0000_s2070" o:spt="32" type="#_x0000_t32" style="position:absolute;left:9673;top:3043;height:485;width:1;" filled="f" stroked="t" coordsize="21600,21600" o:gfxdata="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u7OK2/&#10;AAAA3AAAAA8AAAAAAAAAAQAgAAAAIgAAAGRycy9kb3ducmV2LnhtbFBLAQIUABQAAAAIAIdO4kAz&#10;LwWeOwAAADkAAAAQAAAAAAAAAAEAIAAAAA4BAABkcnMvc2hhcGV4bWwueG1sUEsFBgAAAAAGAAYA&#10;WwEAALgDAAAAAA==&#10;">
                <v:path arrowok="t"/>
                <v:fill on="f" focussize="0,0"/>
                <v:stroke color="#000000" joinstyle="round" endarrow="block"/>
                <v:imagedata o:title=""/>
                <o:lock v:ext="edit" aspectratio="f"/>
              </v:shape>
              <v:shape id="直接箭头连接符 215" o:spid="_x0000_s2071" o:spt="32" type="#_x0000_t32" style="position:absolute;left:5930;top:3043;height:485;width:1;" filled="f" stroked="t" coordsize="21600,21600" o:gfxdata="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T3nTa/&#10;AAAA3AAAAA8AAAAAAAAAAQAgAAAAIgAAAGRycy9kb3ducmV2LnhtbFBLAQIUABQAAAAIAIdO4kAz&#10;LwWeOwAAADkAAAAQAAAAAAAAAAEAIAAAAA4BAABkcnMvc2hhcGV4bWwueG1sUEsFBgAAAAAGAAYA&#10;WwEAALgDAAAAAA==&#10;">
                <v:path arrowok="t"/>
                <v:fill on="f" focussize="0,0"/>
                <v:stroke color="#000000" joinstyle="round" endarrow="block"/>
                <v:imagedata o:title=""/>
                <o:lock v:ext="edit" aspectratio="f"/>
              </v:shape>
              <v:shape id="直接箭头连接符 216" o:spid="_x0000_s2072" o:spt="32" type="#_x0000_t32" style="position:absolute;left:2163;top:3043;height:485;width:1;" filled="f" stroked="t" coordsize="21600,21600" o:gfxdata="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CUDQb4A&#10;AADcAAAADwAAAAAAAAABACAAAAAiAAAAZHJzL2Rvd25yZXYueG1sUEsBAhQAFAAAAAgAh07iQDMv&#10;BZ47AAAAOQAAABAAAAAAAAAAAQAgAAAADQEAAGRycy9zaGFwZXhtbC54bWxQSwUGAAAAAAYABgBb&#10;AQAAtwMAAAAA&#10;">
                <v:path arrowok="t"/>
                <v:fill on="f" focussize="0,0"/>
                <v:stroke color="#000000" joinstyle="round" endarrow="block"/>
                <v:imagedata o:title=""/>
                <o:lock v:ext="edit" aspectratio="f"/>
              </v:shape>
              <v:shape id="直接箭头连接符 217" o:spid="_x0000_s2073" o:spt="32" type="#_x0000_t32" style="position:absolute;left:8439;top:3044;height:486;width:1;" filled="f" stroked="t" coordsize="21600,21600" o:gfxdata="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tpptq/&#10;AAAA3AAAAA8AAAAAAAAAAQAgAAAAIgAAAGRycy9kb3ducmV2LnhtbFBLAQIUABQAAAAIAIdO4kAz&#10;LwWeOwAAADkAAAAQAAAAAAAAAAEAIAAAAA4BAABkcnMvc2hhcGV4bWwueG1sUEsFBgAAAAAGAAYA&#10;WwEAALgDAAAAAA==&#10;">
                <v:path arrowok="t"/>
                <v:fill on="f" focussize="0,0"/>
                <v:stroke color="#000000" joinstyle="round" endarrow="block"/>
                <v:imagedata o:title=""/>
                <o:lock v:ext="edit" aspectratio="f"/>
              </v:shape>
              <v:shape id="直接箭头连接符 218" o:spid="_x0000_s2074" o:spt="32" type="#_x0000_t32" style="position:absolute;left:7188;top:3049;height:485;width:1;" filled="f" stroked="t" coordsize="21600,21600" o:gfxdata="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vYyqLsAAADc&#10;AAAADwAAAAAAAAABACAAAAAiAAAAZHJzL2Rvd25yZXYueG1sUEsBAhQAFAAAAAgAh07iQDMvBZ47&#10;AAAAOQAAABAAAAAAAAAAAQAgAAAACgEAAGRycy9zaGFwZXhtbC54bWxQSwUGAAAAAAYABgBbAQAA&#10;tAMAAAAA&#10;">
                <v:path arrowok="t"/>
                <v:fill on="f" focussize="0,0"/>
                <v:stroke color="#000000" joinstyle="round" endarrow="block"/>
                <v:imagedata o:title=""/>
                <o:lock v:ext="edit" aspectratio="f"/>
              </v:shape>
              <v:shape id="直接箭头连接符 219" o:spid="_x0000_s2075" o:spt="32" type="#_x0000_t32" style="position:absolute;left:3427;top:3043;height:485;width:1;" filled="f" stroked="t" coordsize="21600,21600" o:gfxdata="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bqXM74A&#10;AADcAAAADwAAAAAAAAABACAAAAAiAAAAZHJzL2Rvd25yZXYueG1sUEsBAhQAFAAAAAgAh07iQDMv&#10;BZ47AAAAOQAAABAAAAAAAAAAAQAgAAAADQEAAGRycy9zaGFwZXhtbC54bWxQSwUGAAAAAAYABgBb&#10;AQAAtwMAAAAA&#10;">
                <v:path arrowok="t"/>
                <v:fill on="f" focussize="0,0"/>
                <v:stroke color="#000000" joinstyle="round" endarrow="block"/>
                <v:imagedata o:title=""/>
                <o:lock v:ext="edit" aspectratio="f"/>
              </v:shape>
              <v:shape id="直接箭头连接符 220" o:spid="_x0000_s2076" o:spt="32" type="#_x0000_t32" style="position:absolute;left:905;top:5112;height:481;width:0;" filled="f" stroked="t" coordsize="21600,21600" o:gfxdata="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uz0E7sAAADc&#10;AAAADwAAAAAAAAABACAAAAAiAAAAZHJzL2Rvd25yZXYueG1sUEsBAhQAFAAAAAgAh07iQDMvBZ47&#10;AAAAOQAAABAAAAAAAAAAAQAgAAAACgEAAGRycy9zaGFwZXhtbC54bWxQSwUGAAAAAAYABgBbAQAA&#10;tAMAAAAA&#10;">
                <v:path arrowok="t"/>
                <v:fill on="f" focussize="0,0"/>
                <v:stroke color="#000000" joinstyle="round" endarrow="block"/>
                <v:imagedata o:title=""/>
                <o:lock v:ext="edit" aspectratio="f"/>
              </v:shape>
              <v:shape id="文本框 221" o:spid="_x0000_s2077" o:spt="202" type="#_x0000_t202" style="position:absolute;left:272;top:5594;height:3503;width:1193;" filled="f" stroked="t" coordsize="21600,21600" o:gfxdata="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vC+S+/&#10;AAAA3AAAAA8AAAAAAAAAAQAgAAAAIgAAAGRycy9kb3ducmV2LnhtbFBLAQIUABQAAAAIAIdO4kAz&#10;LwWeOwAAADkAAAAQAAAAAAAAAAEAIAAAAA4BAABkcnMvc2hhcGV4bWwueG1sUEsFBgAAAAAGAAYA&#10;WwEAALgDAAAAAA==&#10;">
                <v:path/>
                <v:fill on="f" focussize="0,0"/>
                <v:stroke color="#000000" joinstyle="miter"/>
                <v:imagedata o:title=""/>
                <o:lock v:ext="edit" aspectratio="f"/>
                <v:textbox>
                  <w:txbxContent>
                    <w:p w14:paraId="2818E060">
                      <w:pPr>
                        <w:keepNext w:val="0"/>
                        <w:keepLines w:val="0"/>
                        <w:pageBreakBefore w:val="0"/>
                        <w:widowControl w:val="0"/>
                        <w:kinsoku/>
                        <w:wordWrap/>
                        <w:overflowPunct/>
                        <w:topLinePunct w:val="0"/>
                        <w:autoSpaceDE/>
                        <w:autoSpaceDN/>
                        <w:bidi w:val="0"/>
                        <w:adjustRightInd/>
                        <w:snapToGrid/>
                        <w:spacing w:before="0" w:beforeLines="40" w:line="220" w:lineRule="exact"/>
                        <w:ind w:firstLine="0" w:firstLineChars="0"/>
                        <w:jc w:val="both"/>
                        <w:textAlignment w:val="auto"/>
                        <w:rPr>
                          <w:rFonts w:hint="default" w:ascii="仿宋" w:hAnsi="仿宋" w:eastAsia="仿宋" w:cs="Times New Roman"/>
                          <w:color w:val="auto"/>
                          <w:kern w:val="0"/>
                          <w:sz w:val="18"/>
                          <w:szCs w:val="18"/>
                          <w:lang w:val="en-US" w:eastAsia="zh-CN"/>
                        </w:rPr>
                      </w:pPr>
                      <w:r>
                        <w:rPr>
                          <w:rFonts w:hint="eastAsia" w:ascii="仿宋" w:hAnsi="仿宋" w:eastAsia="仿宋" w:cs="Times New Roman"/>
                          <w:color w:val="auto"/>
                          <w:kern w:val="0"/>
                          <w:sz w:val="18"/>
                          <w:szCs w:val="18"/>
                          <w:lang w:val="en-US" w:eastAsia="zh-CN"/>
                        </w:rPr>
                        <w:t>由县应急局、县生态环境分局牵头，县公安局、县水务局、县农业农村局、县自然资源局、县林草局等部门组成</w:t>
                      </w:r>
                    </w:p>
                  </w:txbxContent>
                </v:textbox>
              </v:shape>
              <v:shape id="文本框 222" o:spid="_x0000_s2078" o:spt="202" type="#_x0000_t202" style="position:absolute;left:1538;top:5594;height:3503;width:1195;" filled="f" stroked="t" coordsize="21600,21600" o:gfxdata="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sQZ1i/&#10;AAAA3AAAAA8AAAAAAAAAAQAgAAAAIgAAAGRycy9kb3ducmV2LnhtbFBLAQIUABQAAAAIAIdO4kAz&#10;LwWeOwAAADkAAAAQAAAAAAAAAAEAIAAAAA4BAABkcnMvc2hhcGV4bWwueG1sUEsFBgAAAAAGAAYA&#10;WwEAALgDAAAAAA==&#10;">
                <v:path/>
                <v:fill on="f" focussize="0,0"/>
                <v:stroke color="#000000" joinstyle="miter"/>
                <v:imagedata o:title=""/>
                <o:lock v:ext="edit" aspectratio="f"/>
                <v:textbox>
                  <w:txbxContent>
                    <w:p w14:paraId="66F3BEF8">
                      <w:pPr>
                        <w:keepNext w:val="0"/>
                        <w:keepLines w:val="0"/>
                        <w:pageBreakBefore w:val="0"/>
                        <w:widowControl w:val="0"/>
                        <w:kinsoku/>
                        <w:wordWrap/>
                        <w:overflowPunct/>
                        <w:topLinePunct w:val="0"/>
                        <w:autoSpaceDE/>
                        <w:autoSpaceDN/>
                        <w:bidi w:val="0"/>
                        <w:adjustRightInd/>
                        <w:snapToGrid/>
                        <w:spacing w:before="0" w:beforeLines="60" w:line="220" w:lineRule="exact"/>
                        <w:ind w:firstLine="0" w:firstLineChars="0"/>
                        <w:jc w:val="both"/>
                        <w:textAlignment w:val="auto"/>
                        <w:rPr>
                          <w:rFonts w:hint="default" w:ascii="Times New Roman" w:hAnsi="Times New Roman" w:eastAsia="宋体" w:cs="Times New Roman"/>
                          <w:color w:val="auto"/>
                          <w:kern w:val="0"/>
                          <w:sz w:val="20"/>
                          <w:szCs w:val="20"/>
                          <w:lang w:val="en-US" w:eastAsia="zh-CN"/>
                        </w:rPr>
                      </w:pPr>
                      <w:r>
                        <w:rPr>
                          <w:rFonts w:hint="eastAsia" w:ascii="仿宋" w:hAnsi="仿宋" w:eastAsia="仿宋" w:cs="Times New Roman"/>
                          <w:color w:val="auto"/>
                          <w:kern w:val="0"/>
                          <w:sz w:val="18"/>
                          <w:szCs w:val="18"/>
                          <w:lang w:val="en-US" w:eastAsia="zh-CN"/>
                        </w:rPr>
                        <w:t>由县生态环境分局牵头，县自然资源局、县水务局、县农业农村局、县气象局、县畜牧兽医服务中心、县环境监测站等部门组成</w:t>
                      </w:r>
                    </w:p>
                  </w:txbxContent>
                </v:textbox>
              </v:shape>
              <v:shape id="直接箭头连接符 223" o:spid="_x0000_s2079" o:spt="32" type="#_x0000_t32" style="position:absolute;left:2165;top:5091;height:479;width:0;" filled="f" stroked="t" coordsize="21600,21600" o:gfxdata="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o+amS/&#10;AAAA3AAAAA8AAAAAAAAAAQAgAAAAIgAAAGRycy9kb3ducmV2LnhtbFBLAQIUABQAAAAIAIdO4kAz&#10;LwWeOwAAADkAAAAQAAAAAAAAAAEAIAAAAA4BAABkcnMvc2hhcGV4bWwueG1sUEsFBgAAAAAGAAYA&#10;WwEAALgDAAAAAA==&#10;">
                <v:path arrowok="t"/>
                <v:fill on="f" focussize="0,0"/>
                <v:stroke color="#000000" joinstyle="round" endarrow="block"/>
                <v:imagedata o:title=""/>
                <o:lock v:ext="edit" aspectratio="f"/>
              </v:shape>
              <v:shape id="文本框 224" o:spid="_x0000_s2080" o:spt="202" type="#_x0000_t202" style="position:absolute;left:2787;top:5594;height:3503;width:1197;" filled="f" stroked="t" coordsize="21600,21600" o:gfxdata="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u1Wre/&#10;AAAA3AAAAA8AAAAAAAAAAQAgAAAAIgAAAGRycy9kb3ducmV2LnhtbFBLAQIUABQAAAAIAIdO4kAz&#10;LwWeOwAAADkAAAAQAAAAAAAAAAEAIAAAAA4BAABkcnMvc2hhcGV4bWwueG1sUEsFBgAAAAAGAAYA&#10;WwEAALgDAAAAAA==&#10;">
                <v:path/>
                <v:fill on="f" focussize="0,0"/>
                <v:stroke color="#000000" joinstyle="miter"/>
                <v:imagedata o:title=""/>
                <o:lock v:ext="edit" aspectratio="f"/>
                <v:textbox>
                  <w:txbxContent>
                    <w:p w14:paraId="6832404E">
                      <w:pPr>
                        <w:keepNext w:val="0"/>
                        <w:keepLines w:val="0"/>
                        <w:pageBreakBefore w:val="0"/>
                        <w:widowControl w:val="0"/>
                        <w:kinsoku/>
                        <w:wordWrap/>
                        <w:overflowPunct/>
                        <w:topLinePunct w:val="0"/>
                        <w:autoSpaceDE/>
                        <w:autoSpaceDN/>
                        <w:bidi w:val="0"/>
                        <w:adjustRightInd/>
                        <w:snapToGrid/>
                        <w:spacing w:before="0" w:beforeLines="180" w:line="220" w:lineRule="exact"/>
                        <w:ind w:firstLine="0" w:firstLineChars="0"/>
                        <w:jc w:val="both"/>
                        <w:textAlignment w:val="auto"/>
                        <w:rPr>
                          <w:rFonts w:hint="default" w:ascii="仿宋" w:hAnsi="仿宋" w:eastAsia="仿宋" w:cs="Times New Roman"/>
                          <w:color w:val="auto"/>
                          <w:kern w:val="0"/>
                          <w:sz w:val="18"/>
                          <w:szCs w:val="18"/>
                          <w:lang w:val="en-US" w:eastAsia="zh-CN"/>
                        </w:rPr>
                      </w:pPr>
                      <w:r>
                        <w:rPr>
                          <w:rFonts w:hint="eastAsia" w:ascii="仿宋" w:hAnsi="仿宋" w:eastAsia="仿宋" w:cs="Times New Roman"/>
                          <w:color w:val="auto"/>
                          <w:kern w:val="0"/>
                          <w:sz w:val="18"/>
                          <w:szCs w:val="18"/>
                          <w:lang w:val="en-US" w:eastAsia="zh-CN"/>
                        </w:rPr>
                        <w:t>由县卫健局牵头，县医保局、县生态环境分局、县市场监管局、县人民医院等部门组成</w:t>
                      </w:r>
                    </w:p>
                  </w:txbxContent>
                </v:textbox>
              </v:shape>
              <v:shape id="文本框 225" o:spid="_x0000_s2081" o:spt="202" type="#_x0000_t202" style="position:absolute;left:4047;top:5594;height:3503;width:1190;" filled="f" stroked="t" coordsize="21600,21600" o:gfxdata="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T5/yy/&#10;AAAA3AAAAA8AAAAAAAAAAQAgAAAAIgAAAGRycy9kb3ducmV2LnhtbFBLAQIUABQAAAAIAIdO4kAz&#10;LwWeOwAAADkAAAAQAAAAAAAAAAEAIAAAAA4BAABkcnMvc2hhcGV4bWwueG1sUEsFBgAAAAAGAAYA&#10;WwEAALgDAAAAAA==&#10;">
                <v:path/>
                <v:fill on="f" focussize="0,0"/>
                <v:stroke color="#000000" joinstyle="miter"/>
                <v:imagedata o:title=""/>
                <o:lock v:ext="edit" aspectratio="f"/>
                <v:textbox>
                  <w:txbxContent>
                    <w:p w14:paraId="69892441">
                      <w:pPr>
                        <w:keepNext w:val="0"/>
                        <w:keepLines w:val="0"/>
                        <w:pageBreakBefore w:val="0"/>
                        <w:widowControl w:val="0"/>
                        <w:kinsoku/>
                        <w:wordWrap/>
                        <w:overflowPunct/>
                        <w:topLinePunct w:val="0"/>
                        <w:autoSpaceDE/>
                        <w:autoSpaceDN/>
                        <w:bidi w:val="0"/>
                        <w:adjustRightInd/>
                        <w:snapToGrid/>
                        <w:spacing w:before="0" w:beforeLines="20" w:line="200" w:lineRule="exact"/>
                        <w:ind w:firstLine="0" w:firstLineChars="0"/>
                        <w:jc w:val="both"/>
                        <w:textAlignment w:val="auto"/>
                        <w:rPr>
                          <w:rFonts w:hint="default" w:ascii="仿宋" w:hAnsi="仿宋" w:eastAsia="仿宋" w:cs="Times New Roman"/>
                          <w:color w:val="auto"/>
                          <w:kern w:val="0"/>
                          <w:sz w:val="18"/>
                          <w:szCs w:val="18"/>
                          <w:lang w:val="en-US" w:eastAsia="zh-CN"/>
                        </w:rPr>
                      </w:pPr>
                      <w:r>
                        <w:rPr>
                          <w:rFonts w:hint="eastAsia" w:ascii="仿宋" w:hAnsi="仿宋" w:eastAsia="仿宋" w:cs="Times New Roman"/>
                          <w:color w:val="auto"/>
                          <w:kern w:val="0"/>
                          <w:sz w:val="18"/>
                          <w:szCs w:val="18"/>
                          <w:lang w:val="en-US" w:eastAsia="zh-CN"/>
                        </w:rPr>
                        <w:t>由县应急局牵头。县发改局、县公安局、县民政局、县财政局、县生态环境分局、县自然资源局、县住建局、县水务局等部门组成</w:t>
                      </w:r>
                    </w:p>
                  </w:txbxContent>
                </v:textbox>
              </v:shape>
              <v:shape id="文本框 226" o:spid="_x0000_s2082" o:spt="202" type="#_x0000_t202" style="position:absolute;left:5313;top:5594;height:3503;width:1194;" filled="f" stroked="t" coordsize="21600,21600" o:gfxdata="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QrYVu/&#10;AAAA3AAAAA8AAAAAAAAAAQAgAAAAIgAAAGRycy9kb3ducmV2LnhtbFBLAQIUABQAAAAIAIdO4kAz&#10;LwWeOwAAADkAAAAQAAAAAAAAAAEAIAAAAA4BAABkcnMvc2hhcGV4bWwueG1sUEsFBgAAAAAGAAYA&#10;WwEAALgDAAAAAA==&#10;">
                <v:path/>
                <v:fill on="f" focussize="0,0"/>
                <v:stroke color="#000000" joinstyle="miter"/>
                <v:imagedata o:title=""/>
                <o:lock v:ext="edit" aspectratio="f"/>
                <v:textbox>
                  <w:txbxContent>
                    <w:p w14:paraId="286E7B08">
                      <w:pPr>
                        <w:keepNext w:val="0"/>
                        <w:keepLines w:val="0"/>
                        <w:pageBreakBefore w:val="0"/>
                        <w:widowControl w:val="0"/>
                        <w:kinsoku/>
                        <w:wordWrap/>
                        <w:overflowPunct/>
                        <w:topLinePunct w:val="0"/>
                        <w:autoSpaceDE/>
                        <w:autoSpaceDN/>
                        <w:bidi w:val="0"/>
                        <w:adjustRightInd/>
                        <w:snapToGrid/>
                        <w:spacing w:before="0" w:beforeLines="100" w:line="220" w:lineRule="exact"/>
                        <w:ind w:firstLine="0" w:firstLineChars="0"/>
                        <w:jc w:val="both"/>
                        <w:textAlignment w:val="auto"/>
                        <w:rPr>
                          <w:rFonts w:hint="default" w:ascii="仿宋" w:hAnsi="仿宋" w:eastAsia="仿宋" w:cs="Times New Roman"/>
                          <w:color w:val="auto"/>
                          <w:kern w:val="0"/>
                          <w:sz w:val="18"/>
                          <w:szCs w:val="18"/>
                          <w:lang w:val="en-US" w:eastAsia="zh-CN"/>
                        </w:rPr>
                      </w:pPr>
                      <w:r>
                        <w:rPr>
                          <w:rFonts w:hint="eastAsia" w:ascii="仿宋" w:hAnsi="仿宋" w:eastAsia="仿宋" w:cs="Times New Roman"/>
                          <w:color w:val="auto"/>
                          <w:kern w:val="0"/>
                          <w:sz w:val="18"/>
                          <w:szCs w:val="18"/>
                          <w:lang w:val="en-US" w:eastAsia="zh-CN"/>
                        </w:rPr>
                        <w:t>由县委宣传部牵头，县委网信办、县文旅局、县生态环境分局、县市场监管局、县融媒体中心等部门组成</w:t>
                      </w:r>
                    </w:p>
                  </w:txbxContent>
                </v:textbox>
              </v:shape>
              <v:shape id="文本框 227" o:spid="_x0000_s2083" o:spt="202" type="#_x0000_t202" style="position:absolute;left:6577;top:5594;height:3503;width:1189;" filled="f" stroked="t" coordsize="21600,21600" o:gfxdata="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tnxMC/&#10;AAAA3AAAAA8AAAAAAAAAAQAgAAAAIgAAAGRycy9kb3ducmV2LnhtbFBLAQIUABQAAAAIAIdO4kAz&#10;LwWeOwAAADkAAAAQAAAAAAAAAAEAIAAAAA4BAABkcnMvc2hhcGV4bWwueG1sUEsFBgAAAAAGAAYA&#10;WwEAALgDAAAAAA==&#10;">
                <v:path/>
                <v:fill on="f" focussize="0,0"/>
                <v:stroke color="#000000" joinstyle="miter"/>
                <v:imagedata o:title=""/>
                <o:lock v:ext="edit" aspectratio="f"/>
                <v:textbox>
                  <w:txbxContent>
                    <w:p w14:paraId="47EC35D7">
                      <w:pPr>
                        <w:keepNext w:val="0"/>
                        <w:keepLines w:val="0"/>
                        <w:pageBreakBefore w:val="0"/>
                        <w:widowControl w:val="0"/>
                        <w:kinsoku/>
                        <w:wordWrap/>
                        <w:overflowPunct/>
                        <w:topLinePunct w:val="0"/>
                        <w:autoSpaceDE/>
                        <w:autoSpaceDN/>
                        <w:bidi w:val="0"/>
                        <w:adjustRightInd/>
                        <w:snapToGrid/>
                        <w:spacing w:before="0" w:beforeLines="40" w:line="220" w:lineRule="exact"/>
                        <w:ind w:firstLine="0" w:firstLineChars="0"/>
                        <w:jc w:val="both"/>
                        <w:textAlignment w:val="auto"/>
                        <w:rPr>
                          <w:rFonts w:hint="default" w:ascii="仿宋" w:hAnsi="仿宋" w:eastAsia="仿宋" w:cs="Times New Roman"/>
                          <w:color w:val="auto"/>
                          <w:kern w:val="0"/>
                          <w:sz w:val="18"/>
                          <w:szCs w:val="18"/>
                          <w:lang w:val="en-US" w:eastAsia="zh-CN"/>
                        </w:rPr>
                      </w:pPr>
                      <w:r>
                        <w:rPr>
                          <w:rFonts w:hint="eastAsia" w:ascii="仿宋" w:hAnsi="仿宋" w:eastAsia="仿宋" w:cs="Times New Roman"/>
                          <w:color w:val="auto"/>
                          <w:kern w:val="0"/>
                          <w:sz w:val="18"/>
                          <w:szCs w:val="18"/>
                          <w:lang w:val="en-US" w:eastAsia="zh-CN"/>
                        </w:rPr>
                        <w:t>由县公安局牵头，县信访局、县住建局、县司法局、县民政局、县市场监管局、县生态环境分局、县应急局等部门组成</w:t>
                      </w:r>
                    </w:p>
                  </w:txbxContent>
                </v:textbox>
              </v:shape>
              <v:shape id="文本框 228" o:spid="_x0000_s2084" o:spt="202" type="#_x0000_t202" style="position:absolute;left:7834;top:5594;height:3503;width:1193;" filled="f" stroked="t" coordsize="21600,21600" o:gfxdata="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K+FCyvQAA&#10;ANwAAAAPAAAAAAAAAAEAIAAAACIAAABkcnMvZG93bnJldi54bWxQSwECFAAUAAAACACHTuJAMy8F&#10;njsAAAA5AAAAEAAAAAAAAAABACAAAAAMAQAAZHJzL3NoYXBleG1sLnhtbFBLBQYAAAAABgAGAFsB&#10;AAC2AwAAAAA=&#10;">
                <v:path/>
                <v:fill on="f" focussize="0,0"/>
                <v:stroke color="#000000" joinstyle="miter"/>
                <v:imagedata o:title=""/>
                <o:lock v:ext="edit" aspectratio="f"/>
                <v:textbox>
                  <w:txbxContent>
                    <w:p w14:paraId="145FD9C6">
                      <w:pPr>
                        <w:keepNext w:val="0"/>
                        <w:keepLines w:val="0"/>
                        <w:pageBreakBefore w:val="0"/>
                        <w:widowControl w:val="0"/>
                        <w:kinsoku/>
                        <w:wordWrap/>
                        <w:overflowPunct/>
                        <w:topLinePunct w:val="0"/>
                        <w:autoSpaceDE/>
                        <w:autoSpaceDN/>
                        <w:bidi w:val="0"/>
                        <w:adjustRightInd/>
                        <w:snapToGrid/>
                        <w:spacing w:line="166" w:lineRule="exact"/>
                        <w:ind w:firstLine="0" w:firstLineChars="0"/>
                        <w:jc w:val="both"/>
                        <w:textAlignment w:val="auto"/>
                        <w:rPr>
                          <w:rFonts w:hint="default" w:ascii="仿宋" w:hAnsi="仿宋" w:eastAsia="仿宋" w:cs="Times New Roman"/>
                          <w:color w:val="0000FF"/>
                          <w:kern w:val="0"/>
                          <w:sz w:val="18"/>
                          <w:szCs w:val="18"/>
                          <w:lang w:val="en-US" w:eastAsia="zh-CN"/>
                        </w:rPr>
                      </w:pPr>
                      <w:r>
                        <w:rPr>
                          <w:rFonts w:hint="eastAsia" w:ascii="仿宋" w:hAnsi="仿宋" w:eastAsia="仿宋" w:cs="Times New Roman"/>
                          <w:color w:val="auto"/>
                          <w:kern w:val="0"/>
                          <w:sz w:val="18"/>
                          <w:szCs w:val="18"/>
                          <w:lang w:val="en-US" w:eastAsia="zh-CN"/>
                        </w:rPr>
                        <w:t>由县生态环境分局牵头，县公安局、县应急局、县民政局、县住建局、县水务局、县农业农村局、县林草局、县地震局、县气象局、事发地和受影响地乡（镇）政府等单位组成</w:t>
                      </w:r>
                    </w:p>
                  </w:txbxContent>
                </v:textbox>
              </v:shape>
              <v:shape id="文本框 229" o:spid="_x0000_s2085" o:spt="202" type="#_x0000_t202" style="position:absolute;left:9094;top:5594;height:3503;width:1190;" filled="f" stroked="t" coordsize="21600,21600" o:gfxdata="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bT1Kb4A&#10;AADcAAAADwAAAAAAAAABACAAAAAiAAAAZHJzL2Rvd25yZXYueG1sUEsBAhQAFAAAAAgAh07iQDMv&#10;BZ47AAAAOQAAABAAAAAAAAAAAQAgAAAADQEAAGRycy9zaGFwZXhtbC54bWxQSwUGAAAAAAYABgBb&#10;AQAAtwMAAAAA&#10;">
                <v:path/>
                <v:fill on="f" focussize="0,0"/>
                <v:stroke color="#000000" joinstyle="miter"/>
                <v:imagedata o:title=""/>
                <o:lock v:ext="edit" aspectratio="f"/>
                <v:textbox>
                  <w:txbxContent>
                    <w:p w14:paraId="69211201">
                      <w:pPr>
                        <w:keepNext w:val="0"/>
                        <w:keepLines w:val="0"/>
                        <w:pageBreakBefore w:val="0"/>
                        <w:widowControl w:val="0"/>
                        <w:kinsoku/>
                        <w:wordWrap/>
                        <w:overflowPunct/>
                        <w:topLinePunct w:val="0"/>
                        <w:autoSpaceDE/>
                        <w:autoSpaceDN/>
                        <w:bidi w:val="0"/>
                        <w:adjustRightInd/>
                        <w:snapToGrid/>
                        <w:spacing w:before="0" w:line="200" w:lineRule="exact"/>
                        <w:ind w:firstLine="0" w:firstLineChars="0"/>
                        <w:jc w:val="both"/>
                        <w:textAlignment w:val="auto"/>
                        <w:rPr>
                          <w:rFonts w:hint="default" w:ascii="Times New Roman" w:hAnsi="Times New Roman" w:eastAsia="宋体" w:cs="Times New Roman"/>
                          <w:color w:val="auto"/>
                          <w:kern w:val="0"/>
                          <w:sz w:val="20"/>
                          <w:szCs w:val="20"/>
                          <w:lang w:val="en-US" w:eastAsia="zh-CN"/>
                        </w:rPr>
                      </w:pPr>
                      <w:r>
                        <w:rPr>
                          <w:rFonts w:hint="eastAsia" w:ascii="仿宋" w:hAnsi="仿宋" w:eastAsia="仿宋" w:cs="Times New Roman"/>
                          <w:color w:val="auto"/>
                          <w:kern w:val="0"/>
                          <w:sz w:val="18"/>
                          <w:szCs w:val="18"/>
                          <w:lang w:val="en-US" w:eastAsia="zh-CN"/>
                        </w:rPr>
                        <w:t>由县生态环境分局、县公安局、县应急局、县民政局、县住建局、县水务局、县农业农村局、县林草局、县地震局、县气象局等有关单位的专家组成</w:t>
                      </w:r>
                    </w:p>
                  </w:txbxContent>
                </v:textbox>
              </v:shape>
              <v:shape id="直接箭头连接符 230" o:spid="_x0000_s2086" o:spt="32" type="#_x0000_t32" style="position:absolute;left:3408;top:5091;height:479;width:0;" filled="f" stroked="t" coordsize="21600,21600" o:gfxdata="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81Ys68AAAA&#10;3AAAAA8AAAAAAAAAAQAgAAAAIgAAAGRycy9kb3ducmV2LnhtbFBLAQIUABQAAAAIAIdO4kAzLwWe&#10;OwAAADkAAAAQAAAAAAAAAAEAIAAAAAsBAABkcnMvc2hhcGV4bWwueG1sUEsFBgAAAAAGAAYAWwEA&#10;ALUDAAAAAA==&#10;">
                <v:path arrowok="t"/>
                <v:fill on="f" focussize="0,0"/>
                <v:stroke color="#000000" joinstyle="round" endarrow="block"/>
                <v:imagedata o:title=""/>
                <o:lock v:ext="edit" aspectratio="f"/>
              </v:shape>
              <v:shape id="直接箭头连接符 231" o:spid="_x0000_s2087" o:spt="32" type="#_x0000_t32" style="position:absolute;left:4647;top:5091;height:479;width:0;" filled="f" stroked="t" coordsize="21600,21600" o:gfxdata="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B5x1W/&#10;AAAA3AAAAA8AAAAAAAAAAQAgAAAAIgAAAGRycy9kb3ducmV2LnhtbFBLAQIUABQAAAAIAIdO4kAz&#10;LwWeOwAAADkAAAAQAAAAAAAAAAEAIAAAAA4BAABkcnMvc2hhcGV4bWwueG1sUEsFBgAAAAAGAAYA&#10;WwEAALgDAAAAAA==&#10;">
                <v:path arrowok="t"/>
                <v:fill on="f" focussize="0,0"/>
                <v:stroke color="#000000" joinstyle="round" endarrow="block"/>
                <v:imagedata o:title=""/>
                <o:lock v:ext="edit" aspectratio="f"/>
              </v:shape>
              <v:shape id="直接箭头连接符 232" o:spid="_x0000_s2088" o:spt="32" type="#_x0000_t32" style="position:absolute;left:5924;top:5091;height:479;width:0;" filled="f" stroked="t" coordsize="21600,21600" o:gfxdata="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CrWSK/&#10;AAAA3AAAAA8AAAAAAAAAAQAgAAAAIgAAAGRycy9kb3ducmV2LnhtbFBLAQIUABQAAAAIAIdO4kAz&#10;LwWeOwAAADkAAAAQAAAAAAAAAAEAIAAAAA4BAABkcnMvc2hhcGV4bWwueG1sUEsFBgAAAAAGAAYA&#10;WwEAALgDAAAAAA==&#10;">
                <v:path arrowok="t"/>
                <v:fill on="f" focussize="0,0"/>
                <v:stroke color="#000000" joinstyle="round" endarrow="block"/>
                <v:imagedata o:title=""/>
                <o:lock v:ext="edit" aspectratio="f"/>
              </v:shape>
              <v:shape id="直接箭头连接符 233" o:spid="_x0000_s2089" o:spt="32" type="#_x0000_t32" style="position:absolute;left:7166;top:5091;height:479;width:0;" filled="f" stroked="t" coordsize="21600,21600" o:gfxdata="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f8ub4A&#10;AADcAAAADwAAAAAAAAABACAAAAAiAAAAZHJzL2Rvd25yZXYueG1sUEsBAhQAFAAAAAgAh07iQDMv&#10;BZ47AAAAOQAAABAAAAAAAAAAAQAgAAAADQEAAGRycy9zaGFwZXhtbC54bWxQSwUGAAAAAAYABgBb&#10;AQAAtwMAAAAA&#10;">
                <v:path arrowok="t"/>
                <v:fill on="f" focussize="0,0"/>
                <v:stroke color="#000000" joinstyle="round" endarrow="block"/>
                <v:imagedata o:title=""/>
                <o:lock v:ext="edit" aspectratio="f"/>
              </v:shape>
              <v:shape id="直接箭头连接符 234" o:spid="_x0000_s2090" o:spt="32" type="#_x0000_t32" style="position:absolute;left:8428;top:5091;height:479;width:0;" filled="f" stroked="t" coordsize="21600,21600" o:gfxdata="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AOZM2/&#10;AAAA3AAAAA8AAAAAAAAAAQAgAAAAIgAAAGRycy9kb3ducmV2LnhtbFBLAQIUABQAAAAIAIdO4kAz&#10;LwWeOwAAADkAAAAQAAAAAAAAAAEAIAAAAA4BAABkcnMvc2hhcGV4bWwueG1sUEsFBgAAAAAGAAYA&#10;WwEAALgDAAAAAA==&#10;">
                <v:path arrowok="t"/>
                <v:fill on="f" focussize="0,0"/>
                <v:stroke color="#000000" joinstyle="round" endarrow="block"/>
                <v:imagedata o:title=""/>
                <o:lock v:ext="edit" aspectratio="f"/>
              </v:shape>
              <v:shape id="直接箭头连接符 235" o:spid="_x0000_s2091" o:spt="32" type="#_x0000_t32" style="position:absolute;left:9693;top:5112;height:481;width:0;" filled="f" stroked="t" coordsize="21600,21600" o:gfxdata="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9CwVa/&#10;AAAA3AAAAA8AAAAAAAAAAQAgAAAAIgAAAGRycy9kb3ducmV2LnhtbFBLAQIUABQAAAAIAIdO4kAz&#10;LwWeOwAAADkAAAAQAAAAAAAAAAEAIAAAAA4BAABkcnMvc2hhcGV4bWwueG1sUEsFBgAAAAAGAAYA&#10;WwEAALgDAAAAAA==&#10;">
                <v:path arrowok="t"/>
                <v:fill on="f" focussize="0,0"/>
                <v:stroke color="#000000" joinstyle="round" endarrow="block"/>
                <v:imagedata o:title=""/>
                <o:lock v:ext="edit" aspectratio="f"/>
              </v:shape>
              <v:shape id="直接箭头连接符 236" o:spid="_x0000_s2092" o:spt="32" type="#_x0000_t32" style="position:absolute;left:863;top:9111;height:480;width:0;" filled="f" stroked="t" coordsize="21600,21600" o:gfxdata="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QXyG/&#10;AAAA3AAAAA8AAAAAAAAAAQAgAAAAIgAAAGRycy9kb3ducmV2LnhtbFBLAQIUABQAAAAIAIdO4kAz&#10;LwWeOwAAADkAAAAQAAAAAAAAAAEAIAAAAA4BAABkcnMvc2hhcGV4bWwueG1sUEsFBgAAAAAGAAYA&#10;WwEAALgDAAAAAA==&#10;">
                <v:path arrowok="t"/>
                <v:fill on="f" focussize="0,0"/>
                <v:stroke color="#000000" joinstyle="round" endarrow="block"/>
                <v:imagedata o:title=""/>
                <o:lock v:ext="edit" aspectratio="f"/>
              </v:shape>
              <v:shape id="文本框 237" o:spid="_x0000_s2093" o:spt="202" type="#_x0000_t202" style="position:absolute;left:281;top:9586;height:1700;width:1133;" filled="f" stroked="t" coordsize="21600,21600" o:gfxdata="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6+Uh2/&#10;AAAA3AAAAA8AAAAAAAAAAQAgAAAAIgAAAGRycy9kb3ducmV2LnhtbFBLAQIUABQAAAAIAIdO4kAz&#10;LwWeOwAAADkAAAAQAAAAAAAAAAEAIAAAAA4BAABkcnMvc2hhcGV4bWwueG1sUEsFBgAAAAAGAAYA&#10;WwEAALgDAAAAAA==&#10;">
                <v:path/>
                <v:fill on="f" focussize="0,0"/>
                <v:stroke color="#000000" joinstyle="miter"/>
                <v:imagedata o:title=""/>
                <o:lock v:ext="edit" aspectratio="f"/>
                <v:textbox>
                  <w:txbxContent>
                    <w:p w14:paraId="5C28D30C">
                      <w:pPr>
                        <w:keepNext w:val="0"/>
                        <w:keepLines w:val="0"/>
                        <w:pageBreakBefore w:val="0"/>
                        <w:widowControl w:val="0"/>
                        <w:kinsoku/>
                        <w:wordWrap/>
                        <w:overflowPunct/>
                        <w:topLinePunct w:val="0"/>
                        <w:autoSpaceDE/>
                        <w:autoSpaceDN/>
                        <w:bidi w:val="0"/>
                        <w:adjustRightInd/>
                        <w:snapToGrid/>
                        <w:spacing w:before="0" w:beforeLines="60" w:line="220" w:lineRule="exact"/>
                        <w:ind w:firstLine="0" w:firstLineChars="0"/>
                        <w:jc w:val="both"/>
                        <w:textAlignment w:val="auto"/>
                        <w:rPr>
                          <w:rFonts w:hint="default" w:ascii="Times New Roman" w:hAnsi="Times New Roman" w:eastAsia="仿宋" w:cs="Times New Roman"/>
                          <w:color w:val="auto"/>
                          <w:kern w:val="0"/>
                          <w:sz w:val="18"/>
                          <w:szCs w:val="18"/>
                          <w:lang w:val="en-US" w:eastAsia="zh-CN"/>
                        </w:rPr>
                      </w:pPr>
                      <w:r>
                        <w:rPr>
                          <w:rFonts w:hint="eastAsia" w:ascii="Times New Roman" w:hAnsi="Times New Roman" w:eastAsia="仿宋" w:cs="Times New Roman"/>
                          <w:color w:val="auto"/>
                          <w:kern w:val="0"/>
                          <w:sz w:val="18"/>
                          <w:szCs w:val="18"/>
                          <w:lang w:val="en-US" w:eastAsia="zh-CN"/>
                        </w:rPr>
                        <w:t>联系人</w:t>
                      </w:r>
                      <w:r>
                        <w:rPr>
                          <w:rFonts w:hint="eastAsia" w:eastAsia="仿宋" w:cs="Times New Roman"/>
                          <w:color w:val="auto"/>
                          <w:kern w:val="0"/>
                          <w:sz w:val="18"/>
                          <w:szCs w:val="18"/>
                          <w:lang w:val="en-US" w:eastAsia="zh-CN"/>
                        </w:rPr>
                        <w:t>：县</w:t>
                      </w:r>
                      <w:r>
                        <w:rPr>
                          <w:rFonts w:hint="default" w:ascii="Times New Roman" w:hAnsi="Times New Roman" w:eastAsia="仿宋" w:cs="Times New Roman"/>
                          <w:color w:val="auto"/>
                          <w:kern w:val="0"/>
                          <w:sz w:val="18"/>
                          <w:szCs w:val="18"/>
                          <w:lang w:val="en-US" w:eastAsia="zh-CN"/>
                        </w:rPr>
                        <w:t>应急局党组书记</w:t>
                      </w:r>
                      <w:r>
                        <w:rPr>
                          <w:rFonts w:hint="eastAsia" w:ascii="Times New Roman" w:hAnsi="Times New Roman" w:eastAsia="仿宋" w:cs="Times New Roman"/>
                          <w:color w:val="auto"/>
                          <w:kern w:val="0"/>
                          <w:sz w:val="18"/>
                          <w:szCs w:val="18"/>
                          <w:lang w:val="en-US" w:eastAsia="zh-CN"/>
                        </w:rPr>
                        <w:t>、</w:t>
                      </w:r>
                      <w:r>
                        <w:rPr>
                          <w:rFonts w:hint="default" w:ascii="Times New Roman" w:hAnsi="Times New Roman" w:eastAsia="仿宋" w:cs="Times New Roman"/>
                          <w:color w:val="auto"/>
                          <w:kern w:val="0"/>
                          <w:sz w:val="18"/>
                          <w:szCs w:val="18"/>
                          <w:lang w:val="en-US" w:eastAsia="zh-CN"/>
                        </w:rPr>
                        <w:t>局长</w:t>
                      </w:r>
                      <w:r>
                        <w:rPr>
                          <w:rFonts w:hint="eastAsia" w:eastAsia="仿宋" w:cs="Times New Roman"/>
                          <w:color w:val="auto"/>
                          <w:kern w:val="0"/>
                          <w:sz w:val="18"/>
                          <w:szCs w:val="18"/>
                          <w:lang w:val="en-US" w:eastAsia="zh-CN"/>
                        </w:rPr>
                        <w:t>陆文德</w:t>
                      </w:r>
                    </w:p>
                  </w:txbxContent>
                </v:textbox>
              </v:shape>
              <v:shape id="直接箭头连接符 238" o:spid="_x0000_s2094" o:spt="32" type="#_x0000_t32" style="position:absolute;left:2127;top:9112;height:479;width:0;" filled="f" stroked="t" coordsize="21600,21600" o:gfxdata="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FDbsi8AAAA&#10;3AAAAA8AAAAAAAAAAQAgAAAAIgAAAGRycy9kb3ducmV2LnhtbFBLAQIUABQAAAAIAIdO4kAzLwWe&#10;OwAAADkAAAAQAAAAAAAAAAEAIAAAAAsBAABkcnMvc2hhcGV4bWwueG1sUEsFBgAAAAAGAAYAWwEA&#10;ALUDAAAAAA==&#10;">
                <v:path arrowok="t"/>
                <v:fill on="f" focussize="0,0"/>
                <v:stroke color="#000000" joinstyle="round" endarrow="block"/>
                <v:imagedata o:title=""/>
                <o:lock v:ext="edit" aspectratio="f"/>
              </v:shape>
              <v:shape id="文本框 239" o:spid="_x0000_s2095" o:spt="202" type="#_x0000_t202" style="position:absolute;left:1562;top:9589;height:1700;width:1132;" filled="f" stroked="t" coordsize="21600,21600" o:gfxdata="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BtY/S/&#10;AAAA3AAAAA8AAAAAAAAAAQAgAAAAIgAAAGRycy9kb3ducmV2LnhtbFBLAQIUABQAAAAIAIdO4kAz&#10;LwWeOwAAADkAAAAQAAAAAAAAAAEAIAAAAA4BAABkcnMvc2hhcGV4bWwueG1sUEsFBgAAAAAGAAYA&#10;WwEAALgDAAAAAA==&#10;">
                <v:path/>
                <v:fill on="f" focussize="0,0"/>
                <v:stroke color="#000000" joinstyle="miter"/>
                <v:imagedata o:title=""/>
                <o:lock v:ext="edit" aspectratio="f"/>
                <v:textbox>
                  <w:txbxContent>
                    <w:p w14:paraId="1A8037EA">
                      <w:pPr>
                        <w:keepNext w:val="0"/>
                        <w:keepLines w:val="0"/>
                        <w:pageBreakBefore w:val="0"/>
                        <w:widowControl w:val="0"/>
                        <w:kinsoku/>
                        <w:wordWrap/>
                        <w:overflowPunct/>
                        <w:topLinePunct w:val="0"/>
                        <w:autoSpaceDE/>
                        <w:autoSpaceDN/>
                        <w:bidi w:val="0"/>
                        <w:adjustRightInd/>
                        <w:snapToGrid/>
                        <w:spacing w:before="0" w:beforeLines="60" w:line="220" w:lineRule="exact"/>
                        <w:ind w:firstLine="0" w:firstLineChars="0"/>
                        <w:jc w:val="both"/>
                        <w:textAlignment w:val="auto"/>
                        <w:rPr>
                          <w:rFonts w:hint="default" w:ascii="Times New Roman" w:hAnsi="Times New Roman" w:eastAsia="仿宋" w:cs="Times New Roman"/>
                          <w:color w:val="auto"/>
                          <w:kern w:val="0"/>
                          <w:sz w:val="18"/>
                          <w:szCs w:val="18"/>
                          <w:lang w:val="en-US" w:eastAsia="zh-CN"/>
                        </w:rPr>
                      </w:pPr>
                      <w:r>
                        <w:rPr>
                          <w:rFonts w:hint="default" w:ascii="Times New Roman" w:hAnsi="Times New Roman" w:eastAsia="仿宋" w:cs="Times New Roman"/>
                          <w:color w:val="auto"/>
                          <w:kern w:val="0"/>
                          <w:sz w:val="18"/>
                          <w:szCs w:val="18"/>
                          <w:lang w:val="en-US" w:eastAsia="zh-CN"/>
                        </w:rPr>
                        <w:t>联系人：县生态环境分局党组书记</w:t>
                      </w:r>
                      <w:r>
                        <w:rPr>
                          <w:rFonts w:hint="eastAsia" w:eastAsia="仿宋" w:cs="Times New Roman"/>
                          <w:color w:val="auto"/>
                          <w:kern w:val="0"/>
                          <w:sz w:val="18"/>
                          <w:szCs w:val="18"/>
                          <w:lang w:val="en-US" w:eastAsia="zh-CN"/>
                        </w:rPr>
                        <w:t xml:space="preserve">、局长  </w:t>
                      </w:r>
                      <w:r>
                        <w:rPr>
                          <w:rFonts w:hint="eastAsia" w:ascii="Times New Roman" w:hAnsi="Times New Roman" w:eastAsia="仿宋" w:cs="Times New Roman"/>
                          <w:color w:val="auto"/>
                          <w:kern w:val="0"/>
                          <w:sz w:val="18"/>
                          <w:szCs w:val="18"/>
                          <w:lang w:val="en-US" w:eastAsia="zh-CN"/>
                        </w:rPr>
                        <w:t>妥春</w:t>
                      </w:r>
                      <w:r>
                        <w:rPr>
                          <w:rFonts w:hint="eastAsia" w:eastAsia="仿宋" w:cs="Times New Roman"/>
                          <w:color w:val="auto"/>
                          <w:kern w:val="0"/>
                          <w:sz w:val="18"/>
                          <w:szCs w:val="18"/>
                          <w:lang w:val="en-US" w:eastAsia="zh-CN"/>
                        </w:rPr>
                        <w:t>海</w:t>
                      </w:r>
                    </w:p>
                  </w:txbxContent>
                </v:textbox>
              </v:shape>
              <v:shape id="直接箭头连接符 240" o:spid="_x0000_s2096" o:spt="32" type="#_x0000_t32" style="position:absolute;left:3390;top:9112;height:460;width:0;" filled="f" stroked="t" coordsize="21600,21600" o:gfxdata="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czEbO8AAAA&#10;3AAAAA8AAAAAAAAAAQAgAAAAIgAAAGRycy9kb3ducmV2LnhtbFBLAQIUABQAAAAIAIdO4kAzLwWe&#10;OwAAADkAAAAQAAAAAAAAAAEAIAAAAAsBAABkcnMvc2hhcGV4bWwueG1sUEsFBgAAAAAGAAYAWwEA&#10;ALUDAAAAAA==&#10;">
                <v:path arrowok="t"/>
                <v:fill on="f" focussize="0,0"/>
                <v:stroke color="#000000" joinstyle="round" endarrow="block"/>
                <v:imagedata o:title=""/>
                <o:lock v:ext="edit" aspectratio="f"/>
              </v:shape>
              <v:shape id="文本框 241" o:spid="_x0000_s2097" o:spt="202" type="#_x0000_t202" style="position:absolute;left:2833;top:9599;height:1700;width:1133;" filled="f" stroked="t" coordsize="21600,21600" o:gfxdata="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h0cj74A&#10;AADcAAAADwAAAAAAAAABACAAAAAiAAAAZHJzL2Rvd25yZXYueG1sUEsBAhQAFAAAAAgAh07iQDMv&#10;BZ47AAAAOQAAABAAAAAAAAAAAQAgAAAADQEAAGRycy9zaGFwZXhtbC54bWxQSwUGAAAAAAYABgBb&#10;AQAAtwMAAAAA&#10;">
                <v:path/>
                <v:fill on="f" focussize="0,0"/>
                <v:stroke color="#000000" joinstyle="miter"/>
                <v:imagedata o:title=""/>
                <o:lock v:ext="edit" aspectratio="f"/>
                <v:textbox>
                  <w:txbxContent>
                    <w:p w14:paraId="409BF495">
                      <w:pPr>
                        <w:keepNext w:val="0"/>
                        <w:keepLines w:val="0"/>
                        <w:pageBreakBefore w:val="0"/>
                        <w:widowControl w:val="0"/>
                        <w:kinsoku/>
                        <w:wordWrap/>
                        <w:overflowPunct/>
                        <w:topLinePunct w:val="0"/>
                        <w:autoSpaceDE/>
                        <w:autoSpaceDN/>
                        <w:bidi w:val="0"/>
                        <w:adjustRightInd/>
                        <w:snapToGrid/>
                        <w:spacing w:before="0" w:beforeLines="25" w:line="220" w:lineRule="exact"/>
                        <w:ind w:firstLine="0" w:firstLineChars="0"/>
                        <w:jc w:val="both"/>
                        <w:textAlignment w:val="auto"/>
                        <w:rPr>
                          <w:rFonts w:hint="default" w:ascii="Times New Roman" w:hAnsi="Times New Roman" w:eastAsia="仿宋" w:cs="Times New Roman"/>
                          <w:color w:val="auto"/>
                          <w:kern w:val="0"/>
                          <w:sz w:val="18"/>
                          <w:szCs w:val="18"/>
                          <w:lang w:val="en-US" w:eastAsia="zh-CN"/>
                        </w:rPr>
                      </w:pPr>
                      <w:r>
                        <w:rPr>
                          <w:rFonts w:hint="default" w:ascii="Times New Roman" w:hAnsi="Times New Roman" w:eastAsia="仿宋" w:cs="Times New Roman"/>
                          <w:color w:val="auto"/>
                          <w:kern w:val="0"/>
                          <w:sz w:val="18"/>
                          <w:szCs w:val="18"/>
                          <w:lang w:val="en-US" w:eastAsia="zh-CN"/>
                        </w:rPr>
                        <w:t>联系人：县卫健局党组书记</w:t>
                      </w:r>
                      <w:r>
                        <w:rPr>
                          <w:rFonts w:hint="eastAsia" w:ascii="Times New Roman" w:hAnsi="Times New Roman" w:eastAsia="仿宋" w:cs="Times New Roman"/>
                          <w:color w:val="auto"/>
                          <w:kern w:val="0"/>
                          <w:sz w:val="18"/>
                          <w:szCs w:val="18"/>
                          <w:lang w:val="en-US" w:eastAsia="zh-CN"/>
                        </w:rPr>
                        <w:t>、</w:t>
                      </w:r>
                      <w:r>
                        <w:rPr>
                          <w:rFonts w:hint="default" w:ascii="Times New Roman" w:hAnsi="Times New Roman" w:eastAsia="仿宋" w:cs="Times New Roman"/>
                          <w:color w:val="auto"/>
                          <w:kern w:val="0"/>
                          <w:sz w:val="18"/>
                          <w:szCs w:val="18"/>
                          <w:lang w:val="en-US" w:eastAsia="zh-CN"/>
                        </w:rPr>
                        <w:t>局长</w:t>
                      </w:r>
                      <w:r>
                        <w:rPr>
                          <w:rFonts w:hint="eastAsia" w:eastAsia="仿宋" w:cs="Times New Roman"/>
                          <w:color w:val="auto"/>
                          <w:kern w:val="0"/>
                          <w:sz w:val="18"/>
                          <w:szCs w:val="18"/>
                          <w:lang w:val="en-US" w:eastAsia="zh-CN"/>
                        </w:rPr>
                        <w:t>任斌</w:t>
                      </w:r>
                    </w:p>
                  </w:txbxContent>
                </v:textbox>
              </v:shape>
              <v:shape id="直接箭头连接符 242" o:spid="_x0000_s2098" o:spt="32" type="#_x0000_t32" style="position:absolute;left:4655;top:9112;height:460;width:0;" filled="f" stroked="t" coordsize="21600,21600" o:gfxdata="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itKl+/&#10;AAAA3AAAAA8AAAAAAAAAAQAgAAAAIgAAAGRycy9kb3ducmV2LnhtbFBLAQIUABQAAAAIAIdO4kAz&#10;LwWeOwAAADkAAAAQAAAAAAAAAAEAIAAAAA4BAABkcnMvc2hhcGV4bWwueG1sUEsFBgAAAAAGAAYA&#10;WwEAALgDAAAAAA==&#10;">
                <v:path arrowok="t"/>
                <v:fill on="f" focussize="0,0"/>
                <v:stroke color="#000000" joinstyle="round" endarrow="block"/>
                <v:imagedata o:title=""/>
                <o:lock v:ext="edit" aspectratio="f"/>
              </v:shape>
              <v:shape id="直接箭头连接符 243" o:spid="_x0000_s2099" o:spt="32" type="#_x0000_t32" style="position:absolute;left:5918;top:9112;height:460;width:0;" filled="f" stroked="t" coordsize="21600,21600" o:gfxdata="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fhj8S/&#10;AAAA3AAAAA8AAAAAAAAAAQAgAAAAIgAAAGRycy9kb3ducmV2LnhtbFBLAQIUABQAAAAIAIdO4kAz&#10;LwWeOwAAADkAAAAQAAAAAAAAAAEAIAAAAA4BAABkcnMvc2hhcGV4bWwueG1sUEsFBgAAAAAGAAYA&#10;WwEAALgDAAAAAA==&#10;">
                <v:path arrowok="t"/>
                <v:fill on="f" focussize="0,0"/>
                <v:stroke color="#000000" joinstyle="round" endarrow="block"/>
                <v:imagedata o:title=""/>
                <o:lock v:ext="edit" aspectratio="f"/>
              </v:shape>
              <v:shape id="直接箭头连接符 244" o:spid="_x0000_s2100" o:spt="32" type="#_x0000_t32" style="position:absolute;left:7183;top:9112;height:460;width:0;" filled="f" stroked="t" coordsize="21600,21600" o:gfxdata="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gXsL4A&#10;AADcAAAADwAAAAAAAAABACAAAAAiAAAAZHJzL2Rvd25yZXYueG1sUEsBAhQAFAAAAAgAh07iQDMv&#10;BZ47AAAAOQAAABAAAAAAAAAAAQAgAAAADQEAAGRycy9zaGFwZXhtbC54bWxQSwUGAAAAAAYABgBb&#10;AQAAtwMAAAAA&#10;">
                <v:path arrowok="t"/>
                <v:fill on="f" focussize="0,0"/>
                <v:stroke color="#000000" joinstyle="round" endarrow="block"/>
                <v:imagedata o:title=""/>
                <o:lock v:ext="edit" aspectratio="f"/>
              </v:shape>
              <v:shape id="直接箭头连接符 245" o:spid="_x0000_s2101" o:spt="32" type="#_x0000_t32" style="position:absolute;left:8447;top:9112;height:460;width:0;" filled="f" stroked="t" coordsize="21600,21600" o:gfxdata="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dEsiu/&#10;AAAA3AAAAA8AAAAAAAAAAQAgAAAAIgAAAGRycy9kb3ducmV2LnhtbFBLAQIUABQAAAAIAIdO4kAz&#10;LwWeOwAAADkAAAAQAAAAAAAAAAEAIAAAAA4BAABkcnMvc2hhcGV4bWwueG1sUEsFBgAAAAAGAAYA&#10;WwEAALgDAAAAAA==&#10;">
                <v:path arrowok="t"/>
                <v:fill on="f" focussize="0,0"/>
                <v:stroke color="#000000" joinstyle="round" endarrow="block"/>
                <v:imagedata o:title=""/>
                <o:lock v:ext="edit" aspectratio="f"/>
              </v:shape>
              <v:shape id="直接箭头连接符 246" o:spid="_x0000_s2102" o:spt="32" type="#_x0000_t32" style="position:absolute;left:9690;top:9111;height:460;width:0;" filled="f" stroked="t" coordsize="21600,21600" o:gfxdata="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eWLFy/&#10;AAAA3AAAAA8AAAAAAAAAAQAgAAAAIgAAAGRycy9kb3ducmV2LnhtbFBLAQIUABQAAAAIAIdO4kAz&#10;LwWeOwAAADkAAAAQAAAAAAAAAAEAIAAAAA4BAABkcnMvc2hhcGV4bWwueG1sUEsFBgAAAAAGAAYA&#10;WwEAALgDAAAAAA==&#10;">
                <v:path arrowok="t"/>
                <v:fill on="f" focussize="0,0"/>
                <v:stroke color="#000000" joinstyle="round" endarrow="block"/>
                <v:imagedata o:title=""/>
                <o:lock v:ext="edit" aspectratio="f"/>
              </v:shape>
              <v:shape id="文本框 247" o:spid="_x0000_s2103" o:spt="202" type="#_x0000_t202" style="position:absolute;left:4090;top:9584;height:1700;width:1133;" filled="f" stroked="t" coordsize="21600,21600" o:gfxdata="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a4IWC/&#10;AAAA3AAAAA8AAAAAAAAAAQAgAAAAIgAAAGRycy9kb3ducmV2LnhtbFBLAQIUABQAAAAIAIdO4kAz&#10;LwWeOwAAADkAAAAQAAAAAAAAAAEAIAAAAA4BAABkcnMvc2hhcGV4bWwueG1sUEsFBgAAAAAGAAYA&#10;WwEAALgDAAAAAA==&#10;">
                <v:path/>
                <v:fill on="f" focussize="0,0"/>
                <v:stroke color="#000000" joinstyle="miter"/>
                <v:imagedata o:title=""/>
                <o:lock v:ext="edit" aspectratio="f"/>
                <v:textbox>
                  <w:txbxContent>
                    <w:p w14:paraId="424B3B39">
                      <w:pPr>
                        <w:keepNext w:val="0"/>
                        <w:keepLines w:val="0"/>
                        <w:pageBreakBefore w:val="0"/>
                        <w:widowControl w:val="0"/>
                        <w:kinsoku/>
                        <w:wordWrap/>
                        <w:overflowPunct/>
                        <w:topLinePunct w:val="0"/>
                        <w:autoSpaceDE/>
                        <w:autoSpaceDN/>
                        <w:bidi w:val="0"/>
                        <w:adjustRightInd/>
                        <w:snapToGrid/>
                        <w:spacing w:before="0" w:beforeLines="40" w:line="220" w:lineRule="exact"/>
                        <w:ind w:firstLine="0" w:firstLineChars="0"/>
                        <w:jc w:val="both"/>
                        <w:textAlignment w:val="auto"/>
                        <w:rPr>
                          <w:rFonts w:hint="default" w:ascii="仿宋" w:hAnsi="仿宋" w:eastAsia="仿宋" w:cs="Times New Roman"/>
                          <w:color w:val="auto"/>
                          <w:kern w:val="0"/>
                          <w:sz w:val="18"/>
                          <w:szCs w:val="18"/>
                          <w:lang w:val="en-US" w:eastAsia="zh-CN"/>
                        </w:rPr>
                      </w:pPr>
                      <w:r>
                        <w:rPr>
                          <w:rFonts w:hint="eastAsia" w:ascii="仿宋" w:hAnsi="仿宋" w:eastAsia="仿宋" w:cs="Times New Roman"/>
                          <w:color w:val="auto"/>
                          <w:kern w:val="0"/>
                          <w:sz w:val="18"/>
                          <w:szCs w:val="18"/>
                          <w:lang w:val="en-US" w:eastAsia="zh-CN"/>
                        </w:rPr>
                        <w:t>联系人：县</w:t>
                      </w:r>
                      <w:r>
                        <w:rPr>
                          <w:rFonts w:hint="default" w:ascii="Times New Roman" w:hAnsi="Times New Roman" w:eastAsia="仿宋" w:cs="Times New Roman"/>
                          <w:color w:val="auto"/>
                          <w:kern w:val="0"/>
                          <w:sz w:val="18"/>
                          <w:szCs w:val="18"/>
                          <w:lang w:val="en-US" w:eastAsia="zh-CN"/>
                        </w:rPr>
                        <w:t>应急局党组书记</w:t>
                      </w:r>
                      <w:r>
                        <w:rPr>
                          <w:rFonts w:hint="eastAsia" w:ascii="Times New Roman" w:hAnsi="Times New Roman" w:eastAsia="仿宋" w:cs="Times New Roman"/>
                          <w:color w:val="auto"/>
                          <w:kern w:val="0"/>
                          <w:sz w:val="18"/>
                          <w:szCs w:val="18"/>
                          <w:lang w:val="en-US" w:eastAsia="zh-CN"/>
                        </w:rPr>
                        <w:t>、</w:t>
                      </w:r>
                      <w:r>
                        <w:rPr>
                          <w:rFonts w:hint="default" w:ascii="Times New Roman" w:hAnsi="Times New Roman" w:eastAsia="仿宋" w:cs="Times New Roman"/>
                          <w:color w:val="auto"/>
                          <w:kern w:val="0"/>
                          <w:sz w:val="18"/>
                          <w:szCs w:val="18"/>
                          <w:lang w:val="en-US" w:eastAsia="zh-CN"/>
                        </w:rPr>
                        <w:t>局长</w:t>
                      </w:r>
                      <w:r>
                        <w:rPr>
                          <w:rFonts w:hint="eastAsia" w:ascii="Times New Roman" w:hAnsi="Times New Roman" w:eastAsia="仿宋" w:cs="Times New Roman"/>
                          <w:color w:val="auto"/>
                          <w:kern w:val="0"/>
                          <w:sz w:val="18"/>
                          <w:szCs w:val="18"/>
                          <w:lang w:val="en-US" w:eastAsia="zh-CN"/>
                        </w:rPr>
                        <w:t xml:space="preserve"> </w:t>
                      </w:r>
                      <w:r>
                        <w:rPr>
                          <w:rFonts w:hint="eastAsia" w:eastAsia="仿宋" w:cs="Times New Roman"/>
                          <w:color w:val="auto"/>
                          <w:kern w:val="0"/>
                          <w:sz w:val="18"/>
                          <w:szCs w:val="18"/>
                          <w:lang w:val="en-US" w:eastAsia="zh-CN"/>
                        </w:rPr>
                        <w:t>陆文德</w:t>
                      </w:r>
                    </w:p>
                  </w:txbxContent>
                </v:textbox>
              </v:shape>
              <v:shape id="文本框 248" o:spid="_x0000_s2104" o:spt="202" type="#_x0000_t202" style="position:absolute;left:5348;top:9583;height:1700;width:1134;" filled="f" stroked="t" coordsize="21600,21600" o:gfxdata="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ye1Er4A&#10;AADcAAAADwAAAAAAAAABACAAAAAiAAAAZHJzL2Rvd25yZXYueG1sUEsBAhQAFAAAAAgAh07iQDMv&#10;BZ47AAAAOQAAABAAAAAAAAAAAQAgAAAADQEAAGRycy9zaGFwZXhtbC54bWxQSwUGAAAAAAYABgBb&#10;AQAAtwMAAAAA&#10;">
                <v:path/>
                <v:fill on="f" focussize="0,0"/>
                <v:stroke color="#000000" joinstyle="miter"/>
                <v:imagedata o:title=""/>
                <o:lock v:ext="edit" aspectratio="f"/>
                <v:textbox>
                  <w:txbxContent>
                    <w:p w14:paraId="2BA65E82">
                      <w:pPr>
                        <w:keepNext w:val="0"/>
                        <w:keepLines w:val="0"/>
                        <w:pageBreakBefore w:val="0"/>
                        <w:widowControl w:val="0"/>
                        <w:kinsoku/>
                        <w:wordWrap/>
                        <w:overflowPunct/>
                        <w:topLinePunct w:val="0"/>
                        <w:autoSpaceDE/>
                        <w:autoSpaceDN/>
                        <w:bidi w:val="0"/>
                        <w:adjustRightInd/>
                        <w:snapToGrid/>
                        <w:spacing w:before="0" w:beforeLines="40" w:line="220" w:lineRule="exact"/>
                        <w:ind w:firstLine="0" w:firstLineChars="0"/>
                        <w:jc w:val="both"/>
                        <w:textAlignment w:val="auto"/>
                        <w:rPr>
                          <w:rFonts w:hint="default" w:ascii="Times New Roman" w:hAnsi="Times New Roman" w:eastAsia="仿宋" w:cs="Times New Roman"/>
                          <w:color w:val="auto"/>
                          <w:kern w:val="0"/>
                          <w:sz w:val="18"/>
                          <w:szCs w:val="18"/>
                          <w:lang w:val="en-US" w:eastAsia="zh-CN"/>
                        </w:rPr>
                      </w:pPr>
                      <w:r>
                        <w:rPr>
                          <w:rFonts w:hint="default" w:ascii="Times New Roman" w:hAnsi="Times New Roman" w:eastAsia="仿宋" w:cs="Times New Roman"/>
                          <w:color w:val="auto"/>
                          <w:kern w:val="0"/>
                          <w:sz w:val="18"/>
                          <w:szCs w:val="18"/>
                          <w:lang w:val="en-US" w:eastAsia="zh-CN"/>
                        </w:rPr>
                        <w:t>联系人</w:t>
                      </w:r>
                      <w:r>
                        <w:rPr>
                          <w:rFonts w:hint="eastAsia" w:eastAsia="仿宋" w:cs="Times New Roman"/>
                          <w:color w:val="auto"/>
                          <w:kern w:val="0"/>
                          <w:sz w:val="18"/>
                          <w:szCs w:val="18"/>
                          <w:lang w:val="en-US" w:eastAsia="zh-CN"/>
                        </w:rPr>
                        <w:t>：县委常委、宣传部长   张爱霞</w:t>
                      </w:r>
                    </w:p>
                  </w:txbxContent>
                </v:textbox>
              </v:shape>
              <v:shape id="文本框 249" o:spid="_x0000_s2105" o:spt="202" type="#_x0000_t202" style="position:absolute;left:6629;top:9585;height:1700;width:1133;" filled="f" stroked="t" coordsize="21600,21600" o:gfxdata="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hrEIm/&#10;AAAA3AAAAA8AAAAAAAAAAQAgAAAAIgAAAGRycy9kb3ducmV2LnhtbFBLAQIUABQAAAAIAIdO4kAz&#10;LwWeOwAAADkAAAAQAAAAAAAAAAEAIAAAAA4BAABkcnMvc2hhcGV4bWwueG1sUEsFBgAAAAAGAAYA&#10;WwEAALgDAAAAAA==&#10;">
                <v:path/>
                <v:fill on="f" focussize="0,0"/>
                <v:stroke color="#000000" joinstyle="miter"/>
                <v:imagedata o:title=""/>
                <o:lock v:ext="edit" aspectratio="f"/>
                <v:textbox>
                  <w:txbxContent>
                    <w:p w14:paraId="4F4E7907">
                      <w:pPr>
                        <w:keepNext w:val="0"/>
                        <w:keepLines w:val="0"/>
                        <w:pageBreakBefore w:val="0"/>
                        <w:widowControl w:val="0"/>
                        <w:kinsoku/>
                        <w:wordWrap/>
                        <w:overflowPunct/>
                        <w:topLinePunct w:val="0"/>
                        <w:autoSpaceDE/>
                        <w:autoSpaceDN/>
                        <w:bidi w:val="0"/>
                        <w:adjustRightInd/>
                        <w:snapToGrid/>
                        <w:spacing w:before="0" w:line="220" w:lineRule="exact"/>
                        <w:ind w:firstLine="0" w:firstLineChars="0"/>
                        <w:jc w:val="both"/>
                        <w:textAlignment w:val="auto"/>
                        <w:rPr>
                          <w:rFonts w:hint="default" w:ascii="Times New Roman" w:hAnsi="Times New Roman" w:eastAsia="仿宋" w:cs="Times New Roman"/>
                          <w:color w:val="auto"/>
                          <w:kern w:val="0"/>
                          <w:sz w:val="18"/>
                          <w:szCs w:val="18"/>
                          <w:lang w:val="en-US" w:eastAsia="zh-CN"/>
                        </w:rPr>
                      </w:pPr>
                      <w:r>
                        <w:rPr>
                          <w:rFonts w:hint="eastAsia" w:ascii="Times New Roman" w:hAnsi="Times New Roman" w:eastAsia="仿宋" w:cs="Times New Roman"/>
                          <w:color w:val="auto"/>
                          <w:kern w:val="0"/>
                          <w:sz w:val="18"/>
                          <w:szCs w:val="18"/>
                          <w:lang w:val="en-US" w:eastAsia="zh-CN"/>
                        </w:rPr>
                        <w:t>联系人：</w:t>
                      </w:r>
                      <w:r>
                        <w:rPr>
                          <w:rFonts w:hint="eastAsia" w:eastAsia="仿宋" w:cs="Times New Roman"/>
                          <w:color w:val="auto"/>
                          <w:kern w:val="0"/>
                          <w:sz w:val="18"/>
                          <w:szCs w:val="18"/>
                          <w:lang w:val="en-US" w:eastAsia="zh-CN"/>
                        </w:rPr>
                        <w:t xml:space="preserve">  </w:t>
                      </w:r>
                      <w:r>
                        <w:rPr>
                          <w:rFonts w:hint="default" w:ascii="Times New Roman" w:hAnsi="Times New Roman" w:eastAsia="仿宋" w:cs="Times New Roman"/>
                          <w:color w:val="auto"/>
                          <w:kern w:val="0"/>
                          <w:sz w:val="18"/>
                          <w:szCs w:val="18"/>
                          <w:lang w:val="en-US" w:eastAsia="zh-CN"/>
                        </w:rPr>
                        <w:t>县政府副县长</w:t>
                      </w:r>
                      <w:r>
                        <w:rPr>
                          <w:rFonts w:hint="eastAsia" w:ascii="Times New Roman" w:hAnsi="Times New Roman" w:eastAsia="仿宋" w:cs="Times New Roman"/>
                          <w:color w:val="auto"/>
                          <w:kern w:val="0"/>
                          <w:sz w:val="18"/>
                          <w:szCs w:val="18"/>
                          <w:lang w:val="en-US" w:eastAsia="zh-CN"/>
                        </w:rPr>
                        <w:t>、</w:t>
                      </w:r>
                      <w:r>
                        <w:rPr>
                          <w:rFonts w:hint="default" w:ascii="Times New Roman" w:hAnsi="Times New Roman" w:eastAsia="仿宋" w:cs="Times New Roman"/>
                          <w:color w:val="auto"/>
                          <w:kern w:val="0"/>
                          <w:sz w:val="18"/>
                          <w:szCs w:val="18"/>
                          <w:lang w:val="en-US" w:eastAsia="zh-CN"/>
                        </w:rPr>
                        <w:t>公安局党委书记</w:t>
                      </w:r>
                      <w:r>
                        <w:rPr>
                          <w:rFonts w:hint="eastAsia" w:ascii="Times New Roman" w:hAnsi="Times New Roman" w:eastAsia="仿宋" w:cs="Times New Roman"/>
                          <w:color w:val="auto"/>
                          <w:kern w:val="0"/>
                          <w:sz w:val="18"/>
                          <w:szCs w:val="18"/>
                          <w:lang w:val="en-US" w:eastAsia="zh-CN"/>
                        </w:rPr>
                        <w:t>、</w:t>
                      </w:r>
                      <w:r>
                        <w:rPr>
                          <w:rFonts w:hint="default" w:ascii="Times New Roman" w:hAnsi="Times New Roman" w:eastAsia="仿宋" w:cs="Times New Roman"/>
                          <w:color w:val="auto"/>
                          <w:kern w:val="0"/>
                          <w:sz w:val="18"/>
                          <w:szCs w:val="18"/>
                          <w:lang w:val="en-US" w:eastAsia="zh-CN"/>
                        </w:rPr>
                        <w:t>局长</w:t>
                      </w:r>
                      <w:r>
                        <w:rPr>
                          <w:rFonts w:hint="eastAsia" w:eastAsia="仿宋" w:cs="Times New Roman"/>
                          <w:color w:val="auto"/>
                          <w:kern w:val="0"/>
                          <w:sz w:val="18"/>
                          <w:szCs w:val="18"/>
                          <w:lang w:val="en-US" w:eastAsia="zh-CN"/>
                        </w:rPr>
                        <w:t>闵兴业</w:t>
                      </w:r>
                    </w:p>
                  </w:txbxContent>
                </v:textbox>
              </v:shape>
              <v:shape id="文本框 250" o:spid="_x0000_s2106" o:spt="202" type="#_x0000_t202" style="position:absolute;left:7885;top:9585;height:1700;width:1134;" filled="f" stroked="t" coordsize="21600,21600" o:gfxdata="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Igvyb4A&#10;AADcAAAADwAAAAAAAAABACAAAAAiAAAAZHJzL2Rvd25yZXYueG1sUEsBAhQAFAAAAAgAh07iQDMv&#10;BZ47AAAAOQAAABAAAAAAAAAAAQAgAAAADQEAAGRycy9zaGFwZXhtbC54bWxQSwUGAAAAAAYABgBb&#10;AQAAtwMAAAAA&#10;">
                <v:path/>
                <v:fill on="f" focussize="0,0"/>
                <v:stroke color="#000000" joinstyle="miter"/>
                <v:imagedata o:title=""/>
                <o:lock v:ext="edit" aspectratio="f"/>
                <v:textbox>
                  <w:txbxContent>
                    <w:p w14:paraId="48F4FED7">
                      <w:pPr>
                        <w:keepNext w:val="0"/>
                        <w:keepLines w:val="0"/>
                        <w:pageBreakBefore w:val="0"/>
                        <w:widowControl w:val="0"/>
                        <w:kinsoku/>
                        <w:wordWrap/>
                        <w:overflowPunct/>
                        <w:topLinePunct w:val="0"/>
                        <w:autoSpaceDE/>
                        <w:autoSpaceDN/>
                        <w:bidi w:val="0"/>
                        <w:adjustRightInd/>
                        <w:snapToGrid/>
                        <w:spacing w:before="0" w:beforeLines="35" w:line="220" w:lineRule="exact"/>
                        <w:ind w:firstLine="0" w:firstLineChars="0"/>
                        <w:jc w:val="both"/>
                        <w:textAlignment w:val="auto"/>
                        <w:rPr>
                          <w:rFonts w:hint="default" w:ascii="Times New Roman" w:hAnsi="Times New Roman" w:eastAsia="仿宋" w:cs="Times New Roman"/>
                          <w:color w:val="auto"/>
                          <w:kern w:val="0"/>
                          <w:sz w:val="18"/>
                          <w:szCs w:val="18"/>
                          <w:lang w:val="en-US" w:eastAsia="zh-CN"/>
                        </w:rPr>
                      </w:pPr>
                      <w:r>
                        <w:rPr>
                          <w:rFonts w:hint="default" w:ascii="Times New Roman" w:hAnsi="Times New Roman" w:eastAsia="仿宋" w:cs="Times New Roman"/>
                          <w:color w:val="auto"/>
                          <w:kern w:val="0"/>
                          <w:sz w:val="18"/>
                          <w:szCs w:val="18"/>
                          <w:lang w:val="en-US" w:eastAsia="zh-CN"/>
                        </w:rPr>
                        <w:t>联系人：县生态环境分局党组书记</w:t>
                      </w:r>
                      <w:r>
                        <w:rPr>
                          <w:rFonts w:hint="eastAsia" w:ascii="Times New Roman" w:hAnsi="Times New Roman" w:eastAsia="仿宋" w:cs="Times New Roman"/>
                          <w:color w:val="auto"/>
                          <w:kern w:val="0"/>
                          <w:sz w:val="18"/>
                          <w:szCs w:val="18"/>
                          <w:lang w:val="en-US" w:eastAsia="zh-CN"/>
                        </w:rPr>
                        <w:t>、</w:t>
                      </w:r>
                      <w:r>
                        <w:rPr>
                          <w:rFonts w:hint="default" w:ascii="Times New Roman" w:hAnsi="Times New Roman" w:eastAsia="仿宋" w:cs="Times New Roman"/>
                          <w:color w:val="auto"/>
                          <w:kern w:val="0"/>
                          <w:sz w:val="18"/>
                          <w:szCs w:val="18"/>
                          <w:lang w:val="en-US" w:eastAsia="zh-CN"/>
                        </w:rPr>
                        <w:t>局长</w:t>
                      </w:r>
                      <w:r>
                        <w:rPr>
                          <w:rFonts w:hint="eastAsia" w:eastAsia="仿宋" w:cs="Times New Roman"/>
                          <w:color w:val="auto"/>
                          <w:kern w:val="0"/>
                          <w:sz w:val="18"/>
                          <w:szCs w:val="18"/>
                          <w:lang w:val="en-US" w:eastAsia="zh-CN"/>
                        </w:rPr>
                        <w:t xml:space="preserve">   妥春海</w:t>
                      </w:r>
                    </w:p>
                    <w:p w14:paraId="1116C428">
                      <w:pPr>
                        <w:spacing w:line="240" w:lineRule="auto"/>
                        <w:ind w:firstLine="0" w:firstLineChars="0"/>
                        <w:rPr>
                          <w:rFonts w:hint="default" w:ascii="Times New Roman" w:hAnsi="Times New Roman" w:eastAsia="宋体" w:cs="Times New Roman"/>
                          <w:kern w:val="0"/>
                          <w:sz w:val="20"/>
                          <w:szCs w:val="20"/>
                          <w:lang w:val="en-US" w:eastAsia="zh-CN"/>
                        </w:rPr>
                      </w:pPr>
                    </w:p>
                  </w:txbxContent>
                </v:textbox>
              </v:shape>
              <v:shape id="文本框 251" o:spid="_x0000_s2107" o:spt="202" type="#_x0000_t202" style="position:absolute;left:9128;top:9585;height:1700;width:1134;" filled="f" stroked="t" coordsize="21600,21600" o:gfxdata="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8SKUr4A&#10;AADcAAAADwAAAAAAAAABACAAAAAiAAAAZHJzL2Rvd25yZXYueG1sUEsBAhQAFAAAAAgAh07iQDMv&#10;BZ47AAAAOQAAABAAAAAAAAAAAQAgAAAADQEAAGRycy9zaGFwZXhtbC54bWxQSwUGAAAAAAYABgBb&#10;AQAAtwMAAAAA&#10;">
                <v:path/>
                <v:fill on="f" focussize="0,0"/>
                <v:stroke color="#000000" joinstyle="miter"/>
                <v:imagedata o:title=""/>
                <o:lock v:ext="edit" aspectratio="f"/>
                <v:textbox>
                  <w:txbxContent>
                    <w:p w14:paraId="3EF0914B">
                      <w:pPr>
                        <w:keepNext w:val="0"/>
                        <w:keepLines w:val="0"/>
                        <w:pageBreakBefore w:val="0"/>
                        <w:widowControl w:val="0"/>
                        <w:kinsoku/>
                        <w:wordWrap/>
                        <w:overflowPunct/>
                        <w:topLinePunct w:val="0"/>
                        <w:autoSpaceDE/>
                        <w:autoSpaceDN/>
                        <w:bidi w:val="0"/>
                        <w:adjustRightInd/>
                        <w:snapToGrid/>
                        <w:spacing w:before="0" w:beforeLines="100" w:line="220" w:lineRule="exact"/>
                        <w:ind w:firstLine="0" w:firstLineChars="0"/>
                        <w:jc w:val="center"/>
                        <w:textAlignment w:val="auto"/>
                        <w:rPr>
                          <w:rFonts w:hint="default" w:ascii="仿宋" w:hAnsi="仿宋" w:eastAsia="仿宋" w:cs="Times New Roman"/>
                          <w:color w:val="auto"/>
                          <w:kern w:val="0"/>
                          <w:sz w:val="18"/>
                          <w:szCs w:val="18"/>
                          <w:lang w:val="en-US" w:eastAsia="zh-CN"/>
                        </w:rPr>
                      </w:pPr>
                      <w:r>
                        <w:rPr>
                          <w:rFonts w:hint="eastAsia" w:ascii="仿宋" w:hAnsi="仿宋" w:eastAsia="仿宋" w:cs="Times New Roman"/>
                          <w:color w:val="auto"/>
                          <w:kern w:val="0"/>
                          <w:sz w:val="18"/>
                          <w:szCs w:val="18"/>
                          <w:lang w:val="en-US" w:eastAsia="zh-CN"/>
                        </w:rPr>
                        <w:t>/</w:t>
                      </w:r>
                    </w:p>
                  </w:txbxContent>
                </v:textbox>
              </v:shape>
            </v:group>
          </v:group>
        </w:pict>
      </w:r>
    </w:p>
    <w:p w14:paraId="175D7A9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p w14:paraId="300378A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p w14:paraId="7C8D790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p w14:paraId="06C64DC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p w14:paraId="78474C3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p w14:paraId="55CAD92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p w14:paraId="024176E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p w14:paraId="322B7DB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p w14:paraId="152B062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p w14:paraId="5EDBF9F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p w14:paraId="0D95521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p w14:paraId="334BE4E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p w14:paraId="6124EBF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p w14:paraId="590F30D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p w14:paraId="42AD1C5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p w14:paraId="730D55E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p w14:paraId="41FC9CC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p w14:paraId="2397CF1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p w14:paraId="5633173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p w14:paraId="3EEECDB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p w14:paraId="17CBB1E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p w14:paraId="13DE52DD">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仿宋" w:cs="Times New Roman"/>
          <w:b/>
          <w:bCs/>
          <w:color w:val="000000"/>
          <w:kern w:val="2"/>
          <w:sz w:val="32"/>
          <w:szCs w:val="36"/>
        </w:rPr>
      </w:pPr>
      <w:r>
        <w:rPr>
          <w:rFonts w:hint="default" w:ascii="Times New Roman" w:hAnsi="Times New Roman" w:eastAsia="仿宋" w:cs="Times New Roman"/>
          <w:b/>
          <w:bCs/>
          <w:color w:val="000000"/>
          <w:kern w:val="2"/>
          <w:sz w:val="32"/>
          <w:szCs w:val="36"/>
        </w:rPr>
        <w:t>图</w:t>
      </w:r>
      <w:r>
        <w:rPr>
          <w:rFonts w:hint="eastAsia" w:eastAsia="仿宋" w:cs="Times New Roman"/>
          <w:b/>
          <w:bCs/>
          <w:color w:val="000000"/>
          <w:kern w:val="2"/>
          <w:sz w:val="32"/>
          <w:szCs w:val="36"/>
          <w:lang w:val="en-US" w:eastAsia="zh-CN"/>
        </w:rPr>
        <w:t>1</w:t>
      </w:r>
      <w:r>
        <w:rPr>
          <w:rFonts w:hint="default" w:ascii="Times New Roman" w:hAnsi="Times New Roman" w:eastAsia="仿宋" w:cs="Times New Roman"/>
          <w:b/>
          <w:bCs/>
          <w:color w:val="000000"/>
          <w:kern w:val="2"/>
          <w:sz w:val="32"/>
          <w:szCs w:val="36"/>
        </w:rPr>
        <w:t xml:space="preserve"> 肃南县突发</w:t>
      </w:r>
      <w:r>
        <w:rPr>
          <w:rFonts w:hint="eastAsia" w:ascii="Times New Roman" w:hAnsi="Times New Roman" w:eastAsia="仿宋" w:cs="Times New Roman"/>
          <w:b/>
          <w:bCs/>
          <w:color w:val="000000"/>
          <w:kern w:val="2"/>
          <w:sz w:val="32"/>
          <w:szCs w:val="36"/>
          <w:lang w:eastAsia="zh-CN"/>
        </w:rPr>
        <w:t>生态</w:t>
      </w:r>
      <w:r>
        <w:rPr>
          <w:rFonts w:hint="default" w:ascii="Times New Roman" w:hAnsi="Times New Roman" w:eastAsia="仿宋" w:cs="Times New Roman"/>
          <w:b/>
          <w:bCs/>
          <w:color w:val="000000"/>
          <w:kern w:val="2"/>
          <w:sz w:val="32"/>
          <w:szCs w:val="36"/>
        </w:rPr>
        <w:t>环境事件应急组织机构图</w:t>
      </w:r>
    </w:p>
    <w:p w14:paraId="09EF651A">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bookmarkStart w:id="91" w:name="heading_96"/>
    </w:p>
    <w:bookmarkEnd w:id="91"/>
    <w:p w14:paraId="2870D0EC">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default" w:ascii="楷体_GB2312" w:hAnsi="楷体_GB2312" w:eastAsia="楷体_GB2312" w:cs="楷体_GB2312"/>
          <w:b w:val="0"/>
          <w:bCs w:val="0"/>
          <w:kern w:val="2"/>
          <w:sz w:val="32"/>
          <w:szCs w:val="32"/>
          <w:lang w:val="en-US" w:eastAsia="zh-CN" w:bidi="ar-SA"/>
        </w:rPr>
      </w:pPr>
      <w:r>
        <w:rPr>
          <w:rFonts w:hint="eastAsia" w:ascii="楷体_GB2312" w:hAnsi="楷体_GB2312" w:eastAsia="楷体_GB2312" w:cs="楷体_GB2312"/>
          <w:b w:val="0"/>
          <w:bCs w:val="0"/>
          <w:kern w:val="2"/>
          <w:sz w:val="32"/>
          <w:szCs w:val="32"/>
          <w:lang w:val="en-US" w:eastAsia="zh-CN" w:bidi="ar-SA"/>
        </w:rPr>
        <w:t>（一）</w:t>
      </w:r>
      <w:r>
        <w:rPr>
          <w:rFonts w:hint="default" w:ascii="楷体_GB2312" w:hAnsi="楷体_GB2312" w:eastAsia="楷体_GB2312" w:cs="楷体_GB2312"/>
          <w:b w:val="0"/>
          <w:bCs w:val="0"/>
          <w:kern w:val="2"/>
          <w:sz w:val="32"/>
          <w:szCs w:val="32"/>
          <w:lang w:val="en-US" w:eastAsia="zh-CN" w:bidi="ar-SA"/>
        </w:rPr>
        <w:t>组织指挥机构</w:t>
      </w:r>
    </w:p>
    <w:p w14:paraId="295A6401">
      <w:pPr>
        <w:kinsoku w:val="0"/>
        <w:overflowPunct w:val="0"/>
        <w:autoSpaceDE w:val="0"/>
        <w:autoSpaceDN w:val="0"/>
        <w:adjustRightInd w:val="0"/>
        <w:snapToGrid w:val="0"/>
        <w:spacing w:line="360" w:lineRule="auto"/>
        <w:ind w:firstLine="560"/>
        <w:rPr>
          <w:rFonts w:hint="default" w:ascii="仿宋_GB2312" w:hAnsi="仿宋_GB2312" w:eastAsia="仿宋_GB2312" w:cs="仿宋_GB2312"/>
          <w:color w:val="000000"/>
          <w:sz w:val="32"/>
          <w:szCs w:val="32"/>
          <w:lang w:val="en-US" w:eastAsia="zh-CN"/>
        </w:rPr>
      </w:pPr>
      <w:bookmarkStart w:id="92" w:name="_Toc517946087"/>
      <w:bookmarkStart w:id="93" w:name="_Toc2526_WPSOffice_Level3"/>
      <w:r>
        <w:rPr>
          <w:rFonts w:hint="default"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lang w:val="en-US" w:eastAsia="zh-CN"/>
        </w:rPr>
        <w:t>.</w:t>
      </w:r>
      <w:r>
        <w:rPr>
          <w:rFonts w:hint="default" w:ascii="仿宋_GB2312" w:hAnsi="仿宋_GB2312" w:eastAsia="仿宋_GB2312" w:cs="仿宋_GB2312"/>
          <w:color w:val="000000"/>
          <w:sz w:val="32"/>
          <w:szCs w:val="32"/>
          <w:lang w:val="en-US" w:eastAsia="zh-CN"/>
        </w:rPr>
        <w:t>突发环境事件应急指挥部及其职责</w:t>
      </w:r>
      <w:bookmarkEnd w:id="92"/>
    </w:p>
    <w:p w14:paraId="05942D40">
      <w:pPr>
        <w:kinsoku w:val="0"/>
        <w:overflowPunct w:val="0"/>
        <w:autoSpaceDE w:val="0"/>
        <w:autoSpaceDN w:val="0"/>
        <w:adjustRightInd w:val="0"/>
        <w:snapToGrid w:val="0"/>
        <w:spacing w:line="360" w:lineRule="auto"/>
        <w:ind w:firstLine="560"/>
        <w:rPr>
          <w:rFonts w:hint="default"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根据事件发展态势及应对工作需要，</w:t>
      </w:r>
      <w:r>
        <w:rPr>
          <w:rFonts w:hint="eastAsia" w:ascii="仿宋_GB2312" w:hAnsi="仿宋_GB2312" w:eastAsia="仿宋_GB2312" w:cs="仿宋_GB2312"/>
          <w:color w:val="000000"/>
          <w:sz w:val="32"/>
          <w:szCs w:val="32"/>
          <w:lang w:val="en-US" w:eastAsia="zh-CN"/>
        </w:rPr>
        <w:t>县生态环境分局</w:t>
      </w:r>
      <w:r>
        <w:rPr>
          <w:rFonts w:hint="default" w:ascii="仿宋_GB2312" w:hAnsi="仿宋_GB2312" w:eastAsia="仿宋_GB2312" w:cs="仿宋_GB2312"/>
          <w:color w:val="000000"/>
          <w:sz w:val="32"/>
          <w:szCs w:val="32"/>
          <w:lang w:val="en-US" w:eastAsia="zh-CN"/>
        </w:rPr>
        <w:t>可报请县人民政府批准，或根据县人民政府领导指示，成立县应急指挥部，由分管生态环境保护工作的副县长任总指挥，县政府办公室对应生态环境工作的副主任和</w:t>
      </w:r>
      <w:r>
        <w:rPr>
          <w:rFonts w:hint="eastAsia" w:ascii="仿宋_GB2312" w:hAnsi="仿宋_GB2312" w:eastAsia="仿宋_GB2312" w:cs="仿宋_GB2312"/>
          <w:color w:val="000000"/>
          <w:sz w:val="32"/>
          <w:szCs w:val="32"/>
          <w:lang w:val="en-US" w:eastAsia="zh-CN"/>
        </w:rPr>
        <w:t>县生态环境分局</w:t>
      </w:r>
      <w:r>
        <w:rPr>
          <w:rFonts w:hint="default" w:ascii="仿宋_GB2312" w:hAnsi="仿宋_GB2312" w:eastAsia="仿宋_GB2312" w:cs="仿宋_GB2312"/>
          <w:color w:val="000000"/>
          <w:sz w:val="32"/>
          <w:szCs w:val="32"/>
          <w:lang w:val="en-US" w:eastAsia="zh-CN"/>
        </w:rPr>
        <w:t>局长任副总指挥。</w:t>
      </w:r>
    </w:p>
    <w:p w14:paraId="76682863">
      <w:pPr>
        <w:kinsoku w:val="0"/>
        <w:overflowPunct w:val="0"/>
        <w:autoSpaceDE w:val="0"/>
        <w:autoSpaceDN w:val="0"/>
        <w:adjustRightInd w:val="0"/>
        <w:snapToGrid w:val="0"/>
        <w:spacing w:line="360" w:lineRule="auto"/>
        <w:ind w:firstLine="560"/>
        <w:rPr>
          <w:rFonts w:hint="default"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县应急指挥部负责突发环境事件的决策和工作部署；负责发布突发环境事件黄色、蓝色预警；协调、指导我县辖区行政范围内的一般突发环境事件应对工作；对需要国务院、省政府、市政府层面协调处置的一般、重大、特大及跨县、市、省级行政区域已突发环境事件，由县政府及时报请市政府给予支持，或由</w:t>
      </w:r>
      <w:r>
        <w:rPr>
          <w:rFonts w:hint="eastAsia" w:ascii="仿宋_GB2312" w:hAnsi="仿宋_GB2312" w:eastAsia="仿宋_GB2312" w:cs="仿宋_GB2312"/>
          <w:color w:val="000000"/>
          <w:sz w:val="32"/>
          <w:szCs w:val="32"/>
          <w:lang w:val="en-US" w:eastAsia="zh-CN"/>
        </w:rPr>
        <w:t>县生态环境分局</w:t>
      </w:r>
      <w:r>
        <w:rPr>
          <w:rFonts w:hint="default" w:ascii="仿宋_GB2312" w:hAnsi="仿宋_GB2312" w:eastAsia="仿宋_GB2312" w:cs="仿宋_GB2312"/>
          <w:color w:val="000000"/>
          <w:sz w:val="32"/>
          <w:szCs w:val="32"/>
          <w:lang w:val="en-US" w:eastAsia="zh-CN"/>
        </w:rPr>
        <w:t>报请市生态环境局给予支持；当由国务院、省人民政府、市人民政府协调处置时，负责及时上报相关情况，并积极参与应对、协调、指挥有关部门按照职责分工，密切配合，共同做好突发环境事件应对工作；承办国家、省政府、市政府应急指挥部交办的其他应急响应工作。</w:t>
      </w:r>
    </w:p>
    <w:p w14:paraId="489B108B">
      <w:pPr>
        <w:kinsoku w:val="0"/>
        <w:overflowPunct w:val="0"/>
        <w:autoSpaceDE w:val="0"/>
        <w:autoSpaceDN w:val="0"/>
        <w:adjustRightInd w:val="0"/>
        <w:snapToGrid w:val="0"/>
        <w:spacing w:line="360" w:lineRule="auto"/>
        <w:ind w:firstLine="560"/>
        <w:rPr>
          <w:rFonts w:hint="default"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lang w:val="en-US" w:eastAsia="zh-CN"/>
        </w:rPr>
        <w:t>.</w:t>
      </w:r>
      <w:r>
        <w:rPr>
          <w:rFonts w:hint="default" w:ascii="仿宋_GB2312" w:hAnsi="仿宋_GB2312" w:eastAsia="仿宋_GB2312" w:cs="仿宋_GB2312"/>
          <w:color w:val="000000"/>
          <w:sz w:val="32"/>
          <w:szCs w:val="32"/>
          <w:lang w:val="en-US" w:eastAsia="zh-CN"/>
        </w:rPr>
        <w:t>应急指挥部办公室及其职责</w:t>
      </w:r>
    </w:p>
    <w:p w14:paraId="732BDF13">
      <w:pPr>
        <w:kinsoku w:val="0"/>
        <w:overflowPunct w:val="0"/>
        <w:autoSpaceDE w:val="0"/>
        <w:autoSpaceDN w:val="0"/>
        <w:adjustRightInd w:val="0"/>
        <w:snapToGrid w:val="0"/>
        <w:spacing w:line="360" w:lineRule="auto"/>
        <w:ind w:firstLine="560"/>
        <w:rPr>
          <w:rFonts w:hint="default"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指挥机构下设突发环境事件应急指挥办公室（设于</w:t>
      </w:r>
      <w:r>
        <w:rPr>
          <w:rFonts w:hint="eastAsia" w:ascii="仿宋_GB2312" w:hAnsi="仿宋_GB2312" w:eastAsia="仿宋_GB2312" w:cs="仿宋_GB2312"/>
          <w:color w:val="000000"/>
          <w:sz w:val="32"/>
          <w:szCs w:val="32"/>
          <w:lang w:val="en-US" w:eastAsia="zh-CN"/>
        </w:rPr>
        <w:t>县生态环境分局</w:t>
      </w:r>
      <w:r>
        <w:rPr>
          <w:rFonts w:hint="default" w:ascii="仿宋_GB2312" w:hAnsi="仿宋_GB2312" w:eastAsia="仿宋_GB2312" w:cs="仿宋_GB2312"/>
          <w:color w:val="000000"/>
          <w:sz w:val="32"/>
          <w:szCs w:val="32"/>
          <w:lang w:val="en-US" w:eastAsia="zh-CN"/>
        </w:rPr>
        <w:t>），作为突发环境事件应急处置的工作机构，负责突发环境事件应急指挥部日常工作；一旦发生突发环境事件应当立即进入应急工作状态。办公室主任由</w:t>
      </w:r>
      <w:r>
        <w:rPr>
          <w:rFonts w:hint="eastAsia" w:ascii="仿宋_GB2312" w:hAnsi="仿宋_GB2312" w:eastAsia="仿宋_GB2312" w:cs="仿宋_GB2312"/>
          <w:color w:val="000000"/>
          <w:sz w:val="32"/>
          <w:szCs w:val="32"/>
          <w:lang w:val="en-US" w:eastAsia="zh-CN"/>
        </w:rPr>
        <w:t>县生态环境分局</w:t>
      </w:r>
      <w:r>
        <w:rPr>
          <w:rFonts w:hint="default" w:ascii="仿宋_GB2312" w:hAnsi="仿宋_GB2312" w:eastAsia="仿宋_GB2312" w:cs="仿宋_GB2312"/>
          <w:color w:val="000000"/>
          <w:sz w:val="32"/>
          <w:szCs w:val="32"/>
          <w:lang w:val="en-US" w:eastAsia="zh-CN"/>
        </w:rPr>
        <w:t>局长兼任。</w:t>
      </w:r>
    </w:p>
    <w:p w14:paraId="5D11163E">
      <w:pPr>
        <w:kinsoku w:val="0"/>
        <w:overflowPunct w:val="0"/>
        <w:autoSpaceDE w:val="0"/>
        <w:autoSpaceDN w:val="0"/>
        <w:adjustRightInd w:val="0"/>
        <w:snapToGrid w:val="0"/>
        <w:spacing w:line="360" w:lineRule="auto"/>
        <w:ind w:firstLine="560"/>
        <w:rPr>
          <w:rFonts w:hint="default"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办公室职责：</w:t>
      </w:r>
    </w:p>
    <w:p w14:paraId="27F4288D">
      <w:pPr>
        <w:kinsoku w:val="0"/>
        <w:overflowPunct w:val="0"/>
        <w:autoSpaceDE w:val="0"/>
        <w:autoSpaceDN w:val="0"/>
        <w:adjustRightInd w:val="0"/>
        <w:snapToGrid w:val="0"/>
        <w:spacing w:line="360" w:lineRule="auto"/>
        <w:ind w:firstLine="560"/>
        <w:rPr>
          <w:rFonts w:hint="default"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1）掌握全县突发环境事件动态，接收各级各有关部门的预测预警信息，分析突发环境事件情况，研判突发环境事件发展趋势，核定突发环境事件级别，向县突发环境事件应急指挥部提出启动应急预案和采取应急措施的建议，执行县突发环境事件应急指挥部决定；</w:t>
      </w:r>
    </w:p>
    <w:p w14:paraId="2B4E434F">
      <w:pPr>
        <w:kinsoku w:val="0"/>
        <w:overflowPunct w:val="0"/>
        <w:autoSpaceDE w:val="0"/>
        <w:autoSpaceDN w:val="0"/>
        <w:adjustRightInd w:val="0"/>
        <w:snapToGrid w:val="0"/>
        <w:spacing w:line="360" w:lineRule="auto"/>
        <w:ind w:firstLine="560"/>
        <w:rPr>
          <w:rFonts w:hint="default"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（2）按照县突发环境事件应急指挥部的指示，召集县突发环境事件应急指挥部成员单位研究提出处置方案，组织开展应急处置工作；</w:t>
      </w:r>
    </w:p>
    <w:p w14:paraId="49EAE36D">
      <w:pPr>
        <w:kinsoku w:val="0"/>
        <w:overflowPunct w:val="0"/>
        <w:autoSpaceDE w:val="0"/>
        <w:autoSpaceDN w:val="0"/>
        <w:adjustRightInd w:val="0"/>
        <w:snapToGrid w:val="0"/>
        <w:spacing w:line="360" w:lineRule="auto"/>
        <w:ind w:firstLine="560"/>
        <w:rPr>
          <w:rFonts w:hint="default"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（3）按照有关规定和程序向县委、县人民政府和上级主管部门报告突发环境事件相关情况，负责县突发环境事件应急预案的编制修订工作，负责制定突发环境事件应急人员培训和应急演练计划并组织实施；</w:t>
      </w:r>
    </w:p>
    <w:p w14:paraId="05138BAD">
      <w:pPr>
        <w:kinsoku w:val="0"/>
        <w:overflowPunct w:val="0"/>
        <w:autoSpaceDE w:val="0"/>
        <w:autoSpaceDN w:val="0"/>
        <w:adjustRightInd w:val="0"/>
        <w:snapToGrid w:val="0"/>
        <w:spacing w:line="360" w:lineRule="auto"/>
        <w:ind w:firstLine="560"/>
        <w:rPr>
          <w:rFonts w:hint="default"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（4）完成县人民政府、县突发环境事件应急指挥部交办的其他工作。</w:t>
      </w:r>
    </w:p>
    <w:p w14:paraId="63B089B4">
      <w:pPr>
        <w:kinsoku w:val="0"/>
        <w:overflowPunct w:val="0"/>
        <w:autoSpaceDE w:val="0"/>
        <w:autoSpaceDN w:val="0"/>
        <w:adjustRightInd w:val="0"/>
        <w:snapToGrid w:val="0"/>
        <w:spacing w:line="360" w:lineRule="auto"/>
        <w:ind w:firstLine="560"/>
        <w:rPr>
          <w:rFonts w:hint="default"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lang w:val="en-US" w:eastAsia="zh-CN"/>
        </w:rPr>
        <w:t>.</w:t>
      </w:r>
      <w:r>
        <w:rPr>
          <w:rFonts w:hint="default" w:ascii="仿宋_GB2312" w:hAnsi="仿宋_GB2312" w:eastAsia="仿宋_GB2312" w:cs="仿宋_GB2312"/>
          <w:color w:val="000000"/>
          <w:sz w:val="32"/>
          <w:szCs w:val="32"/>
          <w:lang w:val="en-US" w:eastAsia="zh-CN"/>
        </w:rPr>
        <w:t>应急指挥部成员单位及其职责</w:t>
      </w:r>
    </w:p>
    <w:p w14:paraId="1B9A02F2">
      <w:pPr>
        <w:kinsoku w:val="0"/>
        <w:overflowPunct w:val="0"/>
        <w:autoSpaceDE w:val="0"/>
        <w:autoSpaceDN w:val="0"/>
        <w:adjustRightInd w:val="0"/>
        <w:snapToGrid w:val="0"/>
        <w:spacing w:line="360" w:lineRule="auto"/>
        <w:ind w:firstLine="560"/>
        <w:rPr>
          <w:rFonts w:hint="default" w:ascii="仿宋_GB2312" w:hAnsi="仿宋_GB2312" w:eastAsia="仿宋_GB2312" w:cs="仿宋_GB2312"/>
          <w:color w:val="000000"/>
          <w:sz w:val="32"/>
          <w:szCs w:val="32"/>
          <w:lang w:val="en-US" w:eastAsia="zh-CN"/>
        </w:rPr>
      </w:pPr>
      <w:bookmarkStart w:id="94" w:name="_Toc16809"/>
      <w:r>
        <w:rPr>
          <w:rFonts w:hint="default" w:ascii="仿宋_GB2312" w:hAnsi="仿宋_GB2312" w:eastAsia="仿宋_GB2312" w:cs="仿宋_GB2312"/>
          <w:color w:val="000000"/>
          <w:sz w:val="32"/>
          <w:szCs w:val="32"/>
          <w:lang w:val="en-US" w:eastAsia="zh-CN"/>
        </w:rPr>
        <w:t>肃南县突发</w:t>
      </w:r>
      <w:r>
        <w:rPr>
          <w:rFonts w:hint="eastAsia" w:ascii="仿宋_GB2312" w:hAnsi="仿宋_GB2312" w:eastAsia="仿宋_GB2312" w:cs="仿宋_GB2312"/>
          <w:color w:val="000000"/>
          <w:sz w:val="32"/>
          <w:szCs w:val="32"/>
          <w:lang w:val="en-US" w:eastAsia="zh-CN"/>
        </w:rPr>
        <w:t>生态</w:t>
      </w:r>
      <w:r>
        <w:rPr>
          <w:rFonts w:hint="default" w:ascii="仿宋_GB2312" w:hAnsi="仿宋_GB2312" w:eastAsia="仿宋_GB2312" w:cs="仿宋_GB2312"/>
          <w:color w:val="000000"/>
          <w:sz w:val="32"/>
          <w:szCs w:val="32"/>
          <w:lang w:val="en-US" w:eastAsia="zh-CN"/>
        </w:rPr>
        <w:t>环境事件应急指挥部成员由</w:t>
      </w:r>
      <w:r>
        <w:rPr>
          <w:rFonts w:hint="eastAsia" w:ascii="仿宋_GB2312" w:hAnsi="仿宋_GB2312" w:eastAsia="仿宋_GB2312" w:cs="仿宋_GB2312"/>
          <w:color w:val="000000"/>
          <w:sz w:val="32"/>
          <w:szCs w:val="32"/>
          <w:lang w:val="en-US" w:eastAsia="zh-CN"/>
        </w:rPr>
        <w:t>县生态环境分局</w:t>
      </w:r>
      <w:r>
        <w:rPr>
          <w:rFonts w:hint="default" w:ascii="仿宋_GB2312" w:hAnsi="仿宋_GB2312" w:eastAsia="仿宋_GB2312" w:cs="仿宋_GB2312"/>
          <w:color w:val="000000"/>
          <w:sz w:val="32"/>
          <w:szCs w:val="32"/>
          <w:lang w:val="en-US" w:eastAsia="zh-CN"/>
        </w:rPr>
        <w:t>、县委宣传部（网信办）、县发改局、县应急局、县公安局、县民政局、县财政局、县自然资源局、县住建局、县水务局、县农业农村局、县卫健局、县市场监管局、县林草局、县气象局、县地震局、县文旅局</w:t>
      </w:r>
      <w:r>
        <w:rPr>
          <w:rFonts w:hint="eastAsia" w:ascii="仿宋_GB2312" w:hAnsi="仿宋_GB2312" w:eastAsia="仿宋_GB2312" w:cs="仿宋_GB2312"/>
          <w:color w:val="000000"/>
          <w:sz w:val="32"/>
          <w:szCs w:val="32"/>
          <w:lang w:val="en-US" w:eastAsia="zh-CN"/>
        </w:rPr>
        <w:t>、</w:t>
      </w:r>
      <w:r>
        <w:rPr>
          <w:rFonts w:hint="default" w:ascii="仿宋_GB2312" w:hAnsi="仿宋_GB2312" w:eastAsia="仿宋_GB2312" w:cs="仿宋_GB2312"/>
          <w:color w:val="000000"/>
          <w:sz w:val="32"/>
          <w:szCs w:val="32"/>
          <w:lang w:val="en-US" w:eastAsia="zh-CN"/>
        </w:rPr>
        <w:t>县环境监测站等部门共同组成肃南县突发环境事件应急指挥部（以下简称</w:t>
      </w:r>
      <w:r>
        <w:rPr>
          <w:rFonts w:hint="eastAsia" w:ascii="仿宋_GB2312" w:hAnsi="仿宋_GB2312" w:eastAsia="仿宋_GB2312" w:cs="仿宋_GB2312"/>
          <w:color w:val="000000"/>
          <w:sz w:val="32"/>
          <w:szCs w:val="32"/>
          <w:lang w:val="en-US" w:eastAsia="zh-CN"/>
        </w:rPr>
        <w:t>“县应急指挥部”</w:t>
      </w:r>
      <w:r>
        <w:rPr>
          <w:rFonts w:hint="default" w:ascii="仿宋_GB2312" w:hAnsi="仿宋_GB2312" w:eastAsia="仿宋_GB2312" w:cs="仿宋_GB2312"/>
          <w:color w:val="000000"/>
          <w:sz w:val="32"/>
          <w:szCs w:val="32"/>
          <w:lang w:val="en-US" w:eastAsia="zh-CN"/>
        </w:rPr>
        <w:t>），县应急指挥部可以根据工作需要增加有关部门和单位。各成员单位职责如下：</w:t>
      </w:r>
    </w:p>
    <w:p w14:paraId="68A132B6">
      <w:pPr>
        <w:kinsoku w:val="0"/>
        <w:overflowPunct w:val="0"/>
        <w:autoSpaceDE w:val="0"/>
        <w:autoSpaceDN w:val="0"/>
        <w:adjustRightInd w:val="0"/>
        <w:snapToGrid w:val="0"/>
        <w:spacing w:line="360" w:lineRule="auto"/>
        <w:ind w:firstLine="560"/>
        <w:rPr>
          <w:rFonts w:hint="default"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（1）县生态环境分局</w:t>
      </w:r>
    </w:p>
    <w:p w14:paraId="728FFD0D">
      <w:pPr>
        <w:kinsoku w:val="0"/>
        <w:overflowPunct w:val="0"/>
        <w:autoSpaceDE w:val="0"/>
        <w:autoSpaceDN w:val="0"/>
        <w:adjustRightInd w:val="0"/>
        <w:snapToGrid w:val="0"/>
        <w:spacing w:line="360" w:lineRule="auto"/>
        <w:ind w:firstLine="560"/>
        <w:rPr>
          <w:rFonts w:hint="default"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参与由国家、省、市、县政府层面组织的突发环境事件调查处理工作；组织突发环境事件接报和报告、环境应急监测、污染调查，确定环境污染危害范围和程度；参与突发环境事件应急处置的组织、指挥和协调工作；组织一般突发环境事件应急处置阶段污染损害评估，参与较大、重大或特别重大突发环境事件应急处置阶段污染损害评估；修订肃南县突发环境事件应急预案；建立和完善环境应急预警机制。</w:t>
      </w:r>
    </w:p>
    <w:p w14:paraId="5124D6A7">
      <w:pPr>
        <w:kinsoku w:val="0"/>
        <w:overflowPunct w:val="0"/>
        <w:autoSpaceDE w:val="0"/>
        <w:autoSpaceDN w:val="0"/>
        <w:adjustRightInd w:val="0"/>
        <w:snapToGrid w:val="0"/>
        <w:spacing w:line="360" w:lineRule="auto"/>
        <w:ind w:firstLine="560"/>
        <w:rPr>
          <w:rFonts w:hint="default"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lang w:val="en-US" w:eastAsia="zh-CN"/>
        </w:rPr>
        <w:t>2</w:t>
      </w:r>
      <w:r>
        <w:rPr>
          <w:rFonts w:hint="default" w:ascii="仿宋_GB2312" w:hAnsi="仿宋_GB2312" w:eastAsia="仿宋_GB2312" w:cs="仿宋_GB2312"/>
          <w:color w:val="000000"/>
          <w:sz w:val="32"/>
          <w:szCs w:val="32"/>
          <w:lang w:val="en-US" w:eastAsia="zh-CN"/>
        </w:rPr>
        <w:t>）县环境监测站</w:t>
      </w:r>
    </w:p>
    <w:p w14:paraId="1D92A4F3">
      <w:pPr>
        <w:kinsoku w:val="0"/>
        <w:overflowPunct w:val="0"/>
        <w:autoSpaceDE w:val="0"/>
        <w:autoSpaceDN w:val="0"/>
        <w:adjustRightInd w:val="0"/>
        <w:snapToGrid w:val="0"/>
        <w:spacing w:line="360" w:lineRule="auto"/>
        <w:ind w:firstLine="560"/>
        <w:rPr>
          <w:rFonts w:hint="default"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配合指导突发环境事件的应急监测工作，提供现场污染物质资料，依据相关要求进行布点监测，并发布相关数据信息作为县应急指挥部判断依据。</w:t>
      </w:r>
    </w:p>
    <w:p w14:paraId="5BDA50D7">
      <w:pPr>
        <w:kinsoku w:val="0"/>
        <w:overflowPunct w:val="0"/>
        <w:autoSpaceDE w:val="0"/>
        <w:autoSpaceDN w:val="0"/>
        <w:adjustRightInd w:val="0"/>
        <w:snapToGrid w:val="0"/>
        <w:spacing w:line="360" w:lineRule="auto"/>
        <w:ind w:firstLine="560"/>
        <w:rPr>
          <w:rFonts w:hint="default"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lang w:val="en-US" w:eastAsia="zh-CN"/>
        </w:rPr>
        <w:t>3</w:t>
      </w:r>
      <w:r>
        <w:rPr>
          <w:rFonts w:hint="default" w:ascii="仿宋_GB2312" w:hAnsi="仿宋_GB2312" w:eastAsia="仿宋_GB2312" w:cs="仿宋_GB2312"/>
          <w:color w:val="000000"/>
          <w:sz w:val="32"/>
          <w:szCs w:val="32"/>
          <w:lang w:val="en-US" w:eastAsia="zh-CN"/>
        </w:rPr>
        <w:t>）县委宣传部（网信办）、县文旅局</w:t>
      </w:r>
    </w:p>
    <w:p w14:paraId="17F32109">
      <w:pPr>
        <w:kinsoku w:val="0"/>
        <w:overflowPunct w:val="0"/>
        <w:autoSpaceDE w:val="0"/>
        <w:autoSpaceDN w:val="0"/>
        <w:adjustRightInd w:val="0"/>
        <w:snapToGrid w:val="0"/>
        <w:spacing w:line="360" w:lineRule="auto"/>
        <w:ind w:firstLine="560"/>
        <w:rPr>
          <w:rFonts w:hint="default"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负责组织协调突发环境事件应对工作的宣传报道，协调广播、电视、报刊等传统媒体和网络、微博客等新媒体发布突发环境事件预警及响应信息，正确引导社会舆论。</w:t>
      </w:r>
    </w:p>
    <w:p w14:paraId="029CAF96">
      <w:pPr>
        <w:kinsoku w:val="0"/>
        <w:overflowPunct w:val="0"/>
        <w:autoSpaceDE w:val="0"/>
        <w:autoSpaceDN w:val="0"/>
        <w:adjustRightInd w:val="0"/>
        <w:snapToGrid w:val="0"/>
        <w:spacing w:line="360" w:lineRule="auto"/>
        <w:ind w:firstLine="560"/>
        <w:rPr>
          <w:rFonts w:hint="default"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lang w:val="en-US" w:eastAsia="zh-CN"/>
        </w:rPr>
        <w:t>4</w:t>
      </w:r>
      <w:r>
        <w:rPr>
          <w:rFonts w:hint="default" w:ascii="仿宋_GB2312" w:hAnsi="仿宋_GB2312" w:eastAsia="仿宋_GB2312" w:cs="仿宋_GB2312"/>
          <w:color w:val="000000"/>
          <w:sz w:val="32"/>
          <w:szCs w:val="32"/>
          <w:lang w:val="en-US" w:eastAsia="zh-CN"/>
        </w:rPr>
        <w:t>）县发改局</w:t>
      </w:r>
    </w:p>
    <w:p w14:paraId="1B246775">
      <w:pPr>
        <w:kinsoku w:val="0"/>
        <w:overflowPunct w:val="0"/>
        <w:autoSpaceDE w:val="0"/>
        <w:autoSpaceDN w:val="0"/>
        <w:adjustRightInd w:val="0"/>
        <w:snapToGrid w:val="0"/>
        <w:spacing w:line="360" w:lineRule="auto"/>
        <w:ind w:firstLine="560"/>
        <w:rPr>
          <w:rFonts w:hint="default"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配合做好突发环境事件善后恢复重建工作，负责将突发环境事件应急预防与处置体系建设纳入国民经济和社会发展规划。</w:t>
      </w:r>
    </w:p>
    <w:p w14:paraId="69CD0849">
      <w:pPr>
        <w:kinsoku w:val="0"/>
        <w:overflowPunct w:val="0"/>
        <w:autoSpaceDE w:val="0"/>
        <w:autoSpaceDN w:val="0"/>
        <w:adjustRightInd w:val="0"/>
        <w:snapToGrid w:val="0"/>
        <w:spacing w:line="360" w:lineRule="auto"/>
        <w:ind w:firstLine="560"/>
        <w:rPr>
          <w:rFonts w:hint="default"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lang w:val="en-US" w:eastAsia="zh-CN"/>
        </w:rPr>
        <w:t>5</w:t>
      </w:r>
      <w:r>
        <w:rPr>
          <w:rFonts w:hint="default" w:ascii="仿宋_GB2312" w:hAnsi="仿宋_GB2312" w:eastAsia="仿宋_GB2312" w:cs="仿宋_GB2312"/>
          <w:color w:val="000000"/>
          <w:sz w:val="32"/>
          <w:szCs w:val="32"/>
          <w:lang w:val="en-US" w:eastAsia="zh-CN"/>
        </w:rPr>
        <w:t>）县应急局</w:t>
      </w:r>
    </w:p>
    <w:p w14:paraId="723176A3">
      <w:pPr>
        <w:kinsoku w:val="0"/>
        <w:overflowPunct w:val="0"/>
        <w:autoSpaceDE w:val="0"/>
        <w:autoSpaceDN w:val="0"/>
        <w:adjustRightInd w:val="0"/>
        <w:snapToGrid w:val="0"/>
        <w:spacing w:line="360" w:lineRule="auto"/>
        <w:ind w:firstLine="560"/>
        <w:rPr>
          <w:rFonts w:hint="default"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负责组织协调火灾事故引发的较大突发环境事件现场应急处置工作，参与对重金属污染和危险化学物品爆炸、泄漏事件等现场火灾灭火与泄漏控制，或可能导致火灾或泄漏的隐患处置；参与由生产安全事故引发的较大突发环境事件的应急处置工作，参与涉及危险化学品突发环境事件的应急处置和调查。</w:t>
      </w:r>
    </w:p>
    <w:p w14:paraId="45513890">
      <w:pPr>
        <w:kinsoku w:val="0"/>
        <w:overflowPunct w:val="0"/>
        <w:autoSpaceDE w:val="0"/>
        <w:autoSpaceDN w:val="0"/>
        <w:adjustRightInd w:val="0"/>
        <w:snapToGrid w:val="0"/>
        <w:spacing w:line="360" w:lineRule="auto"/>
        <w:ind w:firstLine="560"/>
        <w:rPr>
          <w:rFonts w:hint="default"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lang w:val="en-US" w:eastAsia="zh-CN"/>
        </w:rPr>
        <w:t>6</w:t>
      </w:r>
      <w:r>
        <w:rPr>
          <w:rFonts w:hint="default" w:ascii="仿宋_GB2312" w:hAnsi="仿宋_GB2312" w:eastAsia="仿宋_GB2312" w:cs="仿宋_GB2312"/>
          <w:color w:val="000000"/>
          <w:sz w:val="32"/>
          <w:szCs w:val="32"/>
          <w:lang w:val="en-US" w:eastAsia="zh-CN"/>
        </w:rPr>
        <w:t>）县公安局</w:t>
      </w:r>
    </w:p>
    <w:p w14:paraId="28707A60">
      <w:pPr>
        <w:kinsoku w:val="0"/>
        <w:overflowPunct w:val="0"/>
        <w:autoSpaceDE w:val="0"/>
        <w:autoSpaceDN w:val="0"/>
        <w:adjustRightInd w:val="0"/>
        <w:snapToGrid w:val="0"/>
        <w:spacing w:line="360" w:lineRule="auto"/>
        <w:ind w:firstLine="560"/>
        <w:rPr>
          <w:rFonts w:hint="default"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负责组织道路交通安全事故、恐怖事件等引发的较大突发环境事件现场应急处置工作；负责落实突发环境事件应急响应时的治安、保卫、交通管制和其他措施，维护社会秩序、封锁危险场所；积极配合相关部门组织人员疏散、撤离；负责事故直接责任人的监控和逃逸人员的追捕。</w:t>
      </w:r>
    </w:p>
    <w:p w14:paraId="6EA9A7E1">
      <w:pPr>
        <w:kinsoku w:val="0"/>
        <w:overflowPunct w:val="0"/>
        <w:autoSpaceDE w:val="0"/>
        <w:autoSpaceDN w:val="0"/>
        <w:adjustRightInd w:val="0"/>
        <w:snapToGrid w:val="0"/>
        <w:spacing w:line="360" w:lineRule="auto"/>
        <w:ind w:firstLine="560"/>
        <w:rPr>
          <w:rFonts w:hint="default"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lang w:val="en-US" w:eastAsia="zh-CN"/>
        </w:rPr>
        <w:t>7</w:t>
      </w:r>
      <w:r>
        <w:rPr>
          <w:rFonts w:hint="default" w:ascii="仿宋_GB2312" w:hAnsi="仿宋_GB2312" w:eastAsia="仿宋_GB2312" w:cs="仿宋_GB2312"/>
          <w:color w:val="000000"/>
          <w:sz w:val="32"/>
          <w:szCs w:val="32"/>
          <w:lang w:val="en-US" w:eastAsia="zh-CN"/>
        </w:rPr>
        <w:t>）县民政局</w:t>
      </w:r>
    </w:p>
    <w:p w14:paraId="45276D52">
      <w:pPr>
        <w:kinsoku w:val="0"/>
        <w:overflowPunct w:val="0"/>
        <w:autoSpaceDE w:val="0"/>
        <w:autoSpaceDN w:val="0"/>
        <w:adjustRightInd w:val="0"/>
        <w:snapToGrid w:val="0"/>
        <w:spacing w:line="360" w:lineRule="auto"/>
        <w:ind w:firstLine="560"/>
        <w:rPr>
          <w:rFonts w:hint="default"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负责指导协助地方政府做好应急救援期间的困难群众临时性生活救助工作。</w:t>
      </w:r>
    </w:p>
    <w:p w14:paraId="29BFE649">
      <w:pPr>
        <w:kinsoku w:val="0"/>
        <w:overflowPunct w:val="0"/>
        <w:autoSpaceDE w:val="0"/>
        <w:autoSpaceDN w:val="0"/>
        <w:adjustRightInd w:val="0"/>
        <w:snapToGrid w:val="0"/>
        <w:spacing w:line="360" w:lineRule="auto"/>
        <w:ind w:firstLine="560"/>
        <w:rPr>
          <w:rFonts w:hint="default"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lang w:val="en-US" w:eastAsia="zh-CN"/>
        </w:rPr>
        <w:t>8</w:t>
      </w:r>
      <w:r>
        <w:rPr>
          <w:rFonts w:hint="default" w:ascii="仿宋_GB2312" w:hAnsi="仿宋_GB2312" w:eastAsia="仿宋_GB2312" w:cs="仿宋_GB2312"/>
          <w:color w:val="000000"/>
          <w:sz w:val="32"/>
          <w:szCs w:val="32"/>
          <w:lang w:val="en-US" w:eastAsia="zh-CN"/>
        </w:rPr>
        <w:t>）县财政局</w:t>
      </w:r>
    </w:p>
    <w:p w14:paraId="6BA4B0D0">
      <w:pPr>
        <w:kinsoku w:val="0"/>
        <w:overflowPunct w:val="0"/>
        <w:autoSpaceDE w:val="0"/>
        <w:autoSpaceDN w:val="0"/>
        <w:adjustRightInd w:val="0"/>
        <w:snapToGrid w:val="0"/>
        <w:spacing w:line="360" w:lineRule="auto"/>
        <w:ind w:firstLine="560"/>
        <w:rPr>
          <w:rFonts w:hint="default"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负责较大突发环境事件应急处置工作中的经费保障及管理工作。</w:t>
      </w:r>
    </w:p>
    <w:p w14:paraId="731D181D">
      <w:pPr>
        <w:kinsoku w:val="0"/>
        <w:overflowPunct w:val="0"/>
        <w:autoSpaceDE w:val="0"/>
        <w:autoSpaceDN w:val="0"/>
        <w:adjustRightInd w:val="0"/>
        <w:snapToGrid w:val="0"/>
        <w:spacing w:line="360" w:lineRule="auto"/>
        <w:ind w:firstLine="560"/>
        <w:rPr>
          <w:rFonts w:hint="default"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lang w:val="en-US" w:eastAsia="zh-CN"/>
        </w:rPr>
        <w:t>9</w:t>
      </w:r>
      <w:r>
        <w:rPr>
          <w:rFonts w:hint="default" w:ascii="仿宋_GB2312" w:hAnsi="仿宋_GB2312" w:eastAsia="仿宋_GB2312" w:cs="仿宋_GB2312"/>
          <w:color w:val="000000"/>
          <w:sz w:val="32"/>
          <w:szCs w:val="32"/>
          <w:lang w:val="en-US" w:eastAsia="zh-CN"/>
        </w:rPr>
        <w:t>）县自然资源局</w:t>
      </w:r>
    </w:p>
    <w:p w14:paraId="56D6846E">
      <w:pPr>
        <w:kinsoku w:val="0"/>
        <w:overflowPunct w:val="0"/>
        <w:autoSpaceDE w:val="0"/>
        <w:autoSpaceDN w:val="0"/>
        <w:adjustRightInd w:val="0"/>
        <w:snapToGrid w:val="0"/>
        <w:spacing w:line="360" w:lineRule="auto"/>
        <w:ind w:firstLine="560"/>
        <w:rPr>
          <w:rFonts w:hint="default"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参与因矿产资源开发等造成的较大突发环境事件的应急处置，指导突发环境事件中的地质灾害应急处置，开展应急测绘，提供地理信息、地质资料和相关图件。</w:t>
      </w:r>
    </w:p>
    <w:p w14:paraId="3425EFE3">
      <w:pPr>
        <w:kinsoku w:val="0"/>
        <w:overflowPunct w:val="0"/>
        <w:autoSpaceDE w:val="0"/>
        <w:autoSpaceDN w:val="0"/>
        <w:adjustRightInd w:val="0"/>
        <w:snapToGrid w:val="0"/>
        <w:spacing w:line="360" w:lineRule="auto"/>
        <w:ind w:firstLine="560"/>
        <w:rPr>
          <w:rFonts w:hint="default"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lang w:val="en-US" w:eastAsia="zh-CN"/>
        </w:rPr>
        <w:t>0</w:t>
      </w:r>
      <w:r>
        <w:rPr>
          <w:rFonts w:hint="default" w:ascii="仿宋_GB2312" w:hAnsi="仿宋_GB2312" w:eastAsia="仿宋_GB2312" w:cs="仿宋_GB2312"/>
          <w:color w:val="000000"/>
          <w:sz w:val="32"/>
          <w:szCs w:val="32"/>
          <w:lang w:val="en-US" w:eastAsia="zh-CN"/>
        </w:rPr>
        <w:t>）县住建局</w:t>
      </w:r>
    </w:p>
    <w:p w14:paraId="14E347BE">
      <w:pPr>
        <w:kinsoku w:val="0"/>
        <w:overflowPunct w:val="0"/>
        <w:autoSpaceDE w:val="0"/>
        <w:autoSpaceDN w:val="0"/>
        <w:adjustRightInd w:val="0"/>
        <w:snapToGrid w:val="0"/>
        <w:spacing w:line="360" w:lineRule="auto"/>
        <w:ind w:firstLine="560"/>
        <w:rPr>
          <w:rFonts w:hint="default"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负责指导和协调涉及城市市政公用基础设施的较大突发环境事件相关工作，协调城市供水、燃气热力、市政设施、垃圾与污水处理等单位配合环境应急处置工作。</w:t>
      </w:r>
    </w:p>
    <w:p w14:paraId="0474543A">
      <w:pPr>
        <w:kinsoku w:val="0"/>
        <w:overflowPunct w:val="0"/>
        <w:autoSpaceDE w:val="0"/>
        <w:autoSpaceDN w:val="0"/>
        <w:adjustRightInd w:val="0"/>
        <w:snapToGrid w:val="0"/>
        <w:spacing w:line="360" w:lineRule="auto"/>
        <w:ind w:firstLine="560"/>
        <w:rPr>
          <w:rFonts w:hint="default"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lang w:val="en-US" w:eastAsia="zh-CN"/>
        </w:rPr>
        <w:t>1</w:t>
      </w:r>
      <w:r>
        <w:rPr>
          <w:rFonts w:hint="default" w:ascii="仿宋_GB2312" w:hAnsi="仿宋_GB2312" w:eastAsia="仿宋_GB2312" w:cs="仿宋_GB2312"/>
          <w:color w:val="000000"/>
          <w:sz w:val="32"/>
          <w:szCs w:val="32"/>
          <w:lang w:val="en-US" w:eastAsia="zh-CN"/>
        </w:rPr>
        <w:t>）县水务局</w:t>
      </w:r>
    </w:p>
    <w:p w14:paraId="3BC78474">
      <w:pPr>
        <w:kinsoku w:val="0"/>
        <w:overflowPunct w:val="0"/>
        <w:autoSpaceDE w:val="0"/>
        <w:autoSpaceDN w:val="0"/>
        <w:adjustRightInd w:val="0"/>
        <w:snapToGrid w:val="0"/>
        <w:spacing w:line="360" w:lineRule="auto"/>
        <w:ind w:firstLine="560"/>
        <w:rPr>
          <w:rFonts w:hint="default"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配合指导突发水污染事件的应急管理工作，组织实施跨乡（镇）水量调度工作。</w:t>
      </w:r>
    </w:p>
    <w:p w14:paraId="4588B9F8">
      <w:pPr>
        <w:kinsoku w:val="0"/>
        <w:overflowPunct w:val="0"/>
        <w:autoSpaceDE w:val="0"/>
        <w:autoSpaceDN w:val="0"/>
        <w:adjustRightInd w:val="0"/>
        <w:snapToGrid w:val="0"/>
        <w:spacing w:line="360" w:lineRule="auto"/>
        <w:ind w:firstLine="560"/>
        <w:rPr>
          <w:rFonts w:hint="default"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lang w:val="en-US" w:eastAsia="zh-CN"/>
        </w:rPr>
        <w:t>2</w:t>
      </w:r>
      <w:r>
        <w:rPr>
          <w:rFonts w:hint="default" w:ascii="仿宋_GB2312" w:hAnsi="仿宋_GB2312" w:eastAsia="仿宋_GB2312" w:cs="仿宋_GB2312"/>
          <w:color w:val="000000"/>
          <w:sz w:val="32"/>
          <w:szCs w:val="32"/>
          <w:lang w:val="en-US" w:eastAsia="zh-CN"/>
        </w:rPr>
        <w:t>）县农业农村局</w:t>
      </w:r>
    </w:p>
    <w:p w14:paraId="23999A2C">
      <w:pPr>
        <w:kinsoku w:val="0"/>
        <w:overflowPunct w:val="0"/>
        <w:autoSpaceDE w:val="0"/>
        <w:autoSpaceDN w:val="0"/>
        <w:adjustRightInd w:val="0"/>
        <w:snapToGrid w:val="0"/>
        <w:spacing w:line="360" w:lineRule="auto"/>
        <w:ind w:firstLine="560"/>
        <w:rPr>
          <w:rFonts w:hint="default"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参与农药、化肥及畜禽养殖等造成的水体污染事件治理工作，负责农业生态环境修复。</w:t>
      </w:r>
    </w:p>
    <w:p w14:paraId="143001D7">
      <w:pPr>
        <w:kinsoku w:val="0"/>
        <w:overflowPunct w:val="0"/>
        <w:autoSpaceDE w:val="0"/>
        <w:autoSpaceDN w:val="0"/>
        <w:adjustRightInd w:val="0"/>
        <w:snapToGrid w:val="0"/>
        <w:spacing w:line="360" w:lineRule="auto"/>
        <w:ind w:firstLine="560"/>
        <w:rPr>
          <w:rFonts w:hint="default"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lang w:val="en-US" w:eastAsia="zh-CN"/>
        </w:rPr>
        <w:t>3</w:t>
      </w:r>
      <w:r>
        <w:rPr>
          <w:rFonts w:hint="default" w:ascii="仿宋_GB2312" w:hAnsi="仿宋_GB2312" w:eastAsia="仿宋_GB2312" w:cs="仿宋_GB2312"/>
          <w:color w:val="000000"/>
          <w:sz w:val="32"/>
          <w:szCs w:val="32"/>
          <w:lang w:val="en-US" w:eastAsia="zh-CN"/>
        </w:rPr>
        <w:t>）县林草局</w:t>
      </w:r>
    </w:p>
    <w:p w14:paraId="2268A8D4">
      <w:pPr>
        <w:kinsoku w:val="0"/>
        <w:overflowPunct w:val="0"/>
        <w:autoSpaceDE w:val="0"/>
        <w:autoSpaceDN w:val="0"/>
        <w:adjustRightInd w:val="0"/>
        <w:snapToGrid w:val="0"/>
        <w:spacing w:line="360" w:lineRule="auto"/>
        <w:ind w:firstLine="560"/>
        <w:rPr>
          <w:rFonts w:hint="default"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做好涉及森林、林地、湿地、野生陆生动物及林业部门主管的自然保护区内发生的较大突发环境事件的调查和处置工作。</w:t>
      </w:r>
    </w:p>
    <w:p w14:paraId="79EF5D50">
      <w:pPr>
        <w:kinsoku w:val="0"/>
        <w:overflowPunct w:val="0"/>
        <w:autoSpaceDE w:val="0"/>
        <w:autoSpaceDN w:val="0"/>
        <w:adjustRightInd w:val="0"/>
        <w:snapToGrid w:val="0"/>
        <w:spacing w:line="360" w:lineRule="auto"/>
        <w:ind w:firstLine="560"/>
        <w:rPr>
          <w:rFonts w:hint="default"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lang w:val="en-US" w:eastAsia="zh-CN"/>
        </w:rPr>
        <w:t>4</w:t>
      </w:r>
      <w:r>
        <w:rPr>
          <w:rFonts w:hint="default" w:ascii="仿宋_GB2312" w:hAnsi="仿宋_GB2312" w:eastAsia="仿宋_GB2312" w:cs="仿宋_GB2312"/>
          <w:color w:val="000000"/>
          <w:sz w:val="32"/>
          <w:szCs w:val="32"/>
          <w:lang w:val="en-US" w:eastAsia="zh-CN"/>
        </w:rPr>
        <w:t>）县卫健局</w:t>
      </w:r>
    </w:p>
    <w:p w14:paraId="19644E31">
      <w:pPr>
        <w:kinsoku w:val="0"/>
        <w:overflowPunct w:val="0"/>
        <w:autoSpaceDE w:val="0"/>
        <w:autoSpaceDN w:val="0"/>
        <w:adjustRightInd w:val="0"/>
        <w:snapToGrid w:val="0"/>
        <w:spacing w:line="360" w:lineRule="auto"/>
        <w:ind w:firstLine="560"/>
        <w:rPr>
          <w:rFonts w:hint="default"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负责组织协调较大突发环境事件的应急医学救援工作；负责组织确定突发环境事件所导致健康危害的性质、程度及其影响人数和范围；组织、协调危险化学品事故受伤人员的医疗卫生救援工作；根据实际需要，组织专业人员开展心理疏导和心理危机干预工作，消除民众焦虑、恐慌等负面情绪。</w:t>
      </w:r>
    </w:p>
    <w:p w14:paraId="6411AC4F">
      <w:pPr>
        <w:kinsoku w:val="0"/>
        <w:overflowPunct w:val="0"/>
        <w:autoSpaceDE w:val="0"/>
        <w:autoSpaceDN w:val="0"/>
        <w:adjustRightInd w:val="0"/>
        <w:snapToGrid w:val="0"/>
        <w:spacing w:line="360" w:lineRule="auto"/>
        <w:ind w:firstLine="560"/>
        <w:rPr>
          <w:rFonts w:hint="default"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lang w:val="en-US" w:eastAsia="zh-CN"/>
        </w:rPr>
        <w:t>5</w:t>
      </w:r>
      <w:r>
        <w:rPr>
          <w:rFonts w:hint="default" w:ascii="仿宋_GB2312" w:hAnsi="仿宋_GB2312" w:eastAsia="仿宋_GB2312" w:cs="仿宋_GB2312"/>
          <w:color w:val="000000"/>
          <w:sz w:val="32"/>
          <w:szCs w:val="32"/>
          <w:lang w:val="en-US" w:eastAsia="zh-CN"/>
        </w:rPr>
        <w:t>）县市场监管局</w:t>
      </w:r>
    </w:p>
    <w:p w14:paraId="533AD997">
      <w:pPr>
        <w:kinsoku w:val="0"/>
        <w:overflowPunct w:val="0"/>
        <w:autoSpaceDE w:val="0"/>
        <w:autoSpaceDN w:val="0"/>
        <w:adjustRightInd w:val="0"/>
        <w:snapToGrid w:val="0"/>
        <w:spacing w:line="360" w:lineRule="auto"/>
        <w:ind w:firstLine="560"/>
        <w:rPr>
          <w:rFonts w:hint="default"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负责抢险救援过程中食品及相关产品的安全综合监督，禁止受污染的食品、饮用水等的生产、加工、流通和食用，防范因突发环境事件造成集体中毒等。</w:t>
      </w:r>
    </w:p>
    <w:p w14:paraId="7DAA7338">
      <w:pPr>
        <w:kinsoku w:val="0"/>
        <w:overflowPunct w:val="0"/>
        <w:autoSpaceDE w:val="0"/>
        <w:autoSpaceDN w:val="0"/>
        <w:adjustRightInd w:val="0"/>
        <w:snapToGrid w:val="0"/>
        <w:spacing w:line="360" w:lineRule="auto"/>
        <w:ind w:firstLine="560"/>
        <w:rPr>
          <w:rFonts w:hint="default"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lang w:val="en-US" w:eastAsia="zh-CN"/>
        </w:rPr>
        <w:t>6</w:t>
      </w:r>
      <w:r>
        <w:rPr>
          <w:rFonts w:hint="default" w:ascii="仿宋_GB2312" w:hAnsi="仿宋_GB2312" w:eastAsia="仿宋_GB2312" w:cs="仿宋_GB2312"/>
          <w:color w:val="000000"/>
          <w:sz w:val="32"/>
          <w:szCs w:val="32"/>
          <w:lang w:val="en-US" w:eastAsia="zh-CN"/>
        </w:rPr>
        <w:t>）县气象局</w:t>
      </w:r>
    </w:p>
    <w:p w14:paraId="6DE5FF93">
      <w:pPr>
        <w:keepNext w:val="0"/>
        <w:keepLines w:val="0"/>
        <w:pageBreakBefore w:val="0"/>
        <w:widowControl w:val="0"/>
        <w:kinsoku w:val="0"/>
        <w:wordWrap/>
        <w:overflowPunct w:val="0"/>
        <w:topLinePunct w:val="0"/>
        <w:autoSpaceDE w:val="0"/>
        <w:autoSpaceDN w:val="0"/>
        <w:bidi w:val="0"/>
        <w:adjustRightInd w:val="0"/>
        <w:snapToGrid w:val="0"/>
        <w:spacing w:line="560" w:lineRule="exact"/>
        <w:ind w:firstLine="561"/>
        <w:textAlignment w:val="auto"/>
        <w:rPr>
          <w:rFonts w:hint="default"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提供气象监测预报服务，在较大突发环境事件发生区域进行加密可移动气象监测，提供现场预测预报信息。</w:t>
      </w:r>
    </w:p>
    <w:p w14:paraId="6684A7DE">
      <w:pPr>
        <w:kinsoku w:val="0"/>
        <w:overflowPunct w:val="0"/>
        <w:autoSpaceDE w:val="0"/>
        <w:autoSpaceDN w:val="0"/>
        <w:adjustRightInd w:val="0"/>
        <w:snapToGrid w:val="0"/>
        <w:spacing w:line="360" w:lineRule="auto"/>
        <w:ind w:firstLine="560"/>
        <w:rPr>
          <w:rFonts w:hint="default"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lang w:val="en-US" w:eastAsia="zh-CN"/>
        </w:rPr>
        <w:t>17</w:t>
      </w:r>
      <w:r>
        <w:rPr>
          <w:rFonts w:hint="default" w:ascii="仿宋_GB2312" w:hAnsi="仿宋_GB2312" w:eastAsia="仿宋_GB2312" w:cs="仿宋_GB2312"/>
          <w:color w:val="000000"/>
          <w:sz w:val="32"/>
          <w:szCs w:val="32"/>
          <w:lang w:val="en-US" w:eastAsia="zh-CN"/>
        </w:rPr>
        <w:t>）县地震局</w:t>
      </w:r>
    </w:p>
    <w:p w14:paraId="3B0B3D56">
      <w:pPr>
        <w:kinsoku w:val="0"/>
        <w:overflowPunct w:val="0"/>
        <w:autoSpaceDE w:val="0"/>
        <w:autoSpaceDN w:val="0"/>
        <w:adjustRightInd w:val="0"/>
        <w:snapToGrid w:val="0"/>
        <w:spacing w:line="360" w:lineRule="auto"/>
        <w:ind w:firstLine="560"/>
        <w:rPr>
          <w:rFonts w:hint="default"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负责对事发地和受影响地区的地震震情灾情进行通报。</w:t>
      </w:r>
    </w:p>
    <w:p w14:paraId="55516816">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default" w:ascii="楷体_GB2312" w:hAnsi="楷体_GB2312" w:eastAsia="楷体_GB2312" w:cs="楷体_GB2312"/>
          <w:b w:val="0"/>
          <w:bCs w:val="0"/>
          <w:kern w:val="2"/>
          <w:sz w:val="32"/>
          <w:szCs w:val="32"/>
          <w:lang w:val="en-US" w:eastAsia="zh-CN" w:bidi="ar-SA"/>
        </w:rPr>
      </w:pPr>
      <w:bookmarkStart w:id="95" w:name="_Toc665986935"/>
      <w:r>
        <w:rPr>
          <w:rFonts w:hint="eastAsia" w:ascii="楷体_GB2312" w:hAnsi="楷体_GB2312" w:eastAsia="楷体_GB2312" w:cs="楷体_GB2312"/>
          <w:b w:val="0"/>
          <w:bCs w:val="0"/>
          <w:kern w:val="2"/>
          <w:sz w:val="32"/>
          <w:szCs w:val="32"/>
          <w:lang w:val="en-US" w:eastAsia="zh-CN" w:bidi="ar-SA"/>
        </w:rPr>
        <w:t>（二）</w:t>
      </w:r>
      <w:r>
        <w:rPr>
          <w:rFonts w:hint="default" w:ascii="楷体_GB2312" w:hAnsi="楷体_GB2312" w:eastAsia="楷体_GB2312" w:cs="楷体_GB2312"/>
          <w:b w:val="0"/>
          <w:bCs w:val="0"/>
          <w:kern w:val="2"/>
          <w:sz w:val="32"/>
          <w:szCs w:val="32"/>
          <w:lang w:val="en-US" w:eastAsia="zh-CN" w:bidi="ar-SA"/>
        </w:rPr>
        <w:t>突发环境事件现场指挥部及各工作组职责</w:t>
      </w:r>
      <w:bookmarkEnd w:id="94"/>
      <w:bookmarkEnd w:id="95"/>
    </w:p>
    <w:p w14:paraId="07E2E86A">
      <w:pPr>
        <w:kinsoku w:val="0"/>
        <w:overflowPunct w:val="0"/>
        <w:autoSpaceDE w:val="0"/>
        <w:autoSpaceDN w:val="0"/>
        <w:adjustRightInd w:val="0"/>
        <w:snapToGrid w:val="0"/>
        <w:spacing w:line="360" w:lineRule="auto"/>
        <w:ind w:firstLine="560"/>
        <w:rPr>
          <w:rFonts w:hint="default"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lang w:val="en-US" w:eastAsia="zh-CN"/>
        </w:rPr>
        <w:t>.</w:t>
      </w:r>
      <w:r>
        <w:rPr>
          <w:rFonts w:hint="default" w:ascii="仿宋_GB2312" w:hAnsi="仿宋_GB2312" w:eastAsia="仿宋_GB2312" w:cs="仿宋_GB2312"/>
          <w:color w:val="000000"/>
          <w:sz w:val="32"/>
          <w:szCs w:val="32"/>
          <w:lang w:val="en-US" w:eastAsia="zh-CN"/>
        </w:rPr>
        <w:t>突发环境事件应急指挥部及其职责</w:t>
      </w:r>
    </w:p>
    <w:p w14:paraId="6D9D1A7F">
      <w:pPr>
        <w:kinsoku w:val="0"/>
        <w:overflowPunct w:val="0"/>
        <w:autoSpaceDE w:val="0"/>
        <w:autoSpaceDN w:val="0"/>
        <w:adjustRightInd w:val="0"/>
        <w:snapToGrid w:val="0"/>
        <w:spacing w:line="360" w:lineRule="auto"/>
        <w:ind w:firstLine="560"/>
        <w:rPr>
          <w:rFonts w:hint="default"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肃南县突发环境事件应急指挥部可以根据突发环境事件应急处置工作需要，在事发地成立由县政府、</w:t>
      </w:r>
      <w:r>
        <w:rPr>
          <w:rFonts w:hint="eastAsia" w:ascii="仿宋_GB2312" w:hAnsi="仿宋_GB2312" w:eastAsia="仿宋_GB2312" w:cs="仿宋_GB2312"/>
          <w:color w:val="000000"/>
          <w:sz w:val="32"/>
          <w:szCs w:val="32"/>
          <w:lang w:val="en-US" w:eastAsia="zh-CN"/>
        </w:rPr>
        <w:t>县生态环境分局</w:t>
      </w:r>
      <w:r>
        <w:rPr>
          <w:rFonts w:hint="default" w:ascii="仿宋_GB2312" w:hAnsi="仿宋_GB2312" w:eastAsia="仿宋_GB2312" w:cs="仿宋_GB2312"/>
          <w:color w:val="000000"/>
          <w:sz w:val="32"/>
          <w:szCs w:val="32"/>
          <w:lang w:val="en-US" w:eastAsia="zh-CN"/>
        </w:rPr>
        <w:t>及相关部门、事发单位负责人等组成的突发环境事件应急现场指挥部（简称</w:t>
      </w:r>
      <w:r>
        <w:rPr>
          <w:rFonts w:hint="eastAsia" w:ascii="仿宋_GB2312" w:hAnsi="仿宋_GB2312" w:eastAsia="仿宋_GB2312" w:cs="仿宋_GB2312"/>
          <w:color w:val="000000"/>
          <w:sz w:val="32"/>
          <w:szCs w:val="32"/>
          <w:lang w:val="en-US" w:eastAsia="zh-CN"/>
        </w:rPr>
        <w:t>“现场指挥部”</w:t>
      </w:r>
      <w:r>
        <w:rPr>
          <w:rFonts w:hint="default" w:ascii="仿宋_GB2312" w:hAnsi="仿宋_GB2312" w:eastAsia="仿宋_GB2312" w:cs="仿宋_GB2312"/>
          <w:color w:val="000000"/>
          <w:sz w:val="32"/>
          <w:szCs w:val="32"/>
          <w:lang w:val="en-US" w:eastAsia="zh-CN"/>
        </w:rPr>
        <w:t>），负责现场组织指挥工作，现场指挥部负责人由县应急指挥部根据事件特点临时指定，参与现场处置的有关单位和人员要服从现场指挥部的统一指挥。</w:t>
      </w:r>
    </w:p>
    <w:p w14:paraId="7AB3B7AB">
      <w:pPr>
        <w:kinsoku w:val="0"/>
        <w:overflowPunct w:val="0"/>
        <w:autoSpaceDE w:val="0"/>
        <w:autoSpaceDN w:val="0"/>
        <w:adjustRightInd w:val="0"/>
        <w:snapToGrid w:val="0"/>
        <w:spacing w:line="360" w:lineRule="auto"/>
        <w:ind w:firstLine="560"/>
        <w:rPr>
          <w:rFonts w:hint="default"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主要职责：具体负责事发现场应急处置工作指挥；全面掌握事件发展态势，及时向县应急指挥部报告有关情况，为上级决策提出建议；检查督促各项防治措施落实情况。</w:t>
      </w:r>
    </w:p>
    <w:p w14:paraId="4FA4D41F">
      <w:pPr>
        <w:kinsoku w:val="0"/>
        <w:overflowPunct w:val="0"/>
        <w:autoSpaceDE w:val="0"/>
        <w:autoSpaceDN w:val="0"/>
        <w:adjustRightInd w:val="0"/>
        <w:snapToGrid w:val="0"/>
        <w:spacing w:line="360" w:lineRule="auto"/>
        <w:ind w:firstLine="560"/>
        <w:rPr>
          <w:rFonts w:hint="default"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肃南县突发环境事件应急指挥部设立突发环境事件现场指挥部及相应工作组。</w:t>
      </w:r>
    </w:p>
    <w:p w14:paraId="7328EC9C">
      <w:pPr>
        <w:kinsoku w:val="0"/>
        <w:overflowPunct w:val="0"/>
        <w:autoSpaceDE w:val="0"/>
        <w:autoSpaceDN w:val="0"/>
        <w:adjustRightInd w:val="0"/>
        <w:snapToGrid w:val="0"/>
        <w:spacing w:line="360" w:lineRule="auto"/>
        <w:ind w:firstLine="560"/>
        <w:rPr>
          <w:rFonts w:hint="default"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lang w:val="en-US" w:eastAsia="zh-CN"/>
        </w:rPr>
        <w:t>.</w:t>
      </w:r>
      <w:r>
        <w:rPr>
          <w:rFonts w:hint="default" w:ascii="仿宋_GB2312" w:hAnsi="仿宋_GB2312" w:eastAsia="仿宋_GB2312" w:cs="仿宋_GB2312"/>
          <w:color w:val="000000"/>
          <w:sz w:val="32"/>
          <w:szCs w:val="32"/>
          <w:lang w:val="en-US" w:eastAsia="zh-CN"/>
        </w:rPr>
        <w:t>各工作组组成及职责分工</w:t>
      </w:r>
    </w:p>
    <w:p w14:paraId="6E163027">
      <w:pPr>
        <w:kinsoku w:val="0"/>
        <w:overflowPunct w:val="0"/>
        <w:autoSpaceDE w:val="0"/>
        <w:autoSpaceDN w:val="0"/>
        <w:adjustRightInd w:val="0"/>
        <w:snapToGrid w:val="0"/>
        <w:spacing w:line="360" w:lineRule="auto"/>
        <w:ind w:firstLine="560"/>
        <w:rPr>
          <w:rFonts w:hint="default" w:ascii="仿宋_GB2312" w:hAnsi="仿宋_GB2312" w:eastAsia="仿宋_GB2312" w:cs="仿宋_GB2312"/>
          <w:color w:val="000000"/>
          <w:sz w:val="32"/>
          <w:szCs w:val="32"/>
          <w:lang w:val="en-US" w:eastAsia="zh-CN"/>
        </w:rPr>
      </w:pPr>
      <w:bookmarkStart w:id="96" w:name="_Toc9086"/>
      <w:r>
        <w:rPr>
          <w:rFonts w:hint="default" w:ascii="仿宋_GB2312" w:hAnsi="仿宋_GB2312" w:eastAsia="仿宋_GB2312" w:cs="仿宋_GB2312"/>
          <w:color w:val="000000"/>
          <w:sz w:val="32"/>
          <w:szCs w:val="32"/>
          <w:lang w:val="en-US" w:eastAsia="zh-CN"/>
        </w:rPr>
        <w:t>县应急指挥部下设8个工作组，分别为污染处置组、应急监测组、医学救援组、应急保障组、新闻宣传组、社会稳定组、调查评估组、应急专家组。</w:t>
      </w:r>
    </w:p>
    <w:p w14:paraId="41D74196">
      <w:pPr>
        <w:kinsoku w:val="0"/>
        <w:overflowPunct w:val="0"/>
        <w:autoSpaceDE w:val="0"/>
        <w:autoSpaceDN w:val="0"/>
        <w:adjustRightInd w:val="0"/>
        <w:snapToGrid w:val="0"/>
        <w:spacing w:line="360" w:lineRule="auto"/>
        <w:ind w:firstLine="560"/>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w:t>
      </w:r>
      <w:r>
        <w:rPr>
          <w:rFonts w:hint="default" w:ascii="仿宋_GB2312" w:hAnsi="仿宋_GB2312" w:eastAsia="仿宋_GB2312" w:cs="仿宋_GB2312"/>
          <w:color w:val="000000"/>
          <w:sz w:val="32"/>
          <w:szCs w:val="32"/>
          <w:lang w:val="en-US" w:eastAsia="zh-CN"/>
        </w:rPr>
        <w:t>污染处置组</w:t>
      </w:r>
    </w:p>
    <w:p w14:paraId="15F7528D">
      <w:pPr>
        <w:kinsoku w:val="0"/>
        <w:overflowPunct w:val="0"/>
        <w:autoSpaceDE w:val="0"/>
        <w:autoSpaceDN w:val="0"/>
        <w:adjustRightInd w:val="0"/>
        <w:snapToGrid w:val="0"/>
        <w:spacing w:line="360" w:lineRule="auto"/>
        <w:ind w:firstLine="560"/>
        <w:rPr>
          <w:rFonts w:hint="default"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由县应急局、县生态环境分局牵头，县公安局、县水务局、县农业农村局、县自然资源局、县林草局、县畜牧兽医服务中心等部门组成。</w:t>
      </w:r>
    </w:p>
    <w:p w14:paraId="0EE45894">
      <w:pPr>
        <w:kinsoku w:val="0"/>
        <w:overflowPunct w:val="0"/>
        <w:autoSpaceDE w:val="0"/>
        <w:autoSpaceDN w:val="0"/>
        <w:adjustRightInd w:val="0"/>
        <w:snapToGrid w:val="0"/>
        <w:spacing w:line="360" w:lineRule="auto"/>
        <w:ind w:firstLine="560"/>
        <w:rPr>
          <w:rFonts w:hint="default"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组长：县应急局局长</w:t>
      </w:r>
    </w:p>
    <w:p w14:paraId="23DED9F9">
      <w:pPr>
        <w:kinsoku w:val="0"/>
        <w:overflowPunct w:val="0"/>
        <w:autoSpaceDE w:val="0"/>
        <w:autoSpaceDN w:val="0"/>
        <w:adjustRightInd w:val="0"/>
        <w:snapToGrid w:val="0"/>
        <w:spacing w:line="360" w:lineRule="auto"/>
        <w:ind w:firstLine="560"/>
        <w:rPr>
          <w:rFonts w:hint="default"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副组长：县公安局局长、县生态环境分局局长</w:t>
      </w:r>
    </w:p>
    <w:p w14:paraId="341C8032">
      <w:pPr>
        <w:kinsoku w:val="0"/>
        <w:overflowPunct w:val="0"/>
        <w:autoSpaceDE w:val="0"/>
        <w:autoSpaceDN w:val="0"/>
        <w:adjustRightInd w:val="0"/>
        <w:snapToGrid w:val="0"/>
        <w:spacing w:line="360" w:lineRule="auto"/>
        <w:ind w:firstLine="560"/>
        <w:rPr>
          <w:rFonts w:hint="default"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主要职责：收集汇总相关数据，组织进行技术研判，开展事态分析；迅速组织切断污染源，分析污染途径，明确防止污染物扩散的程序；组织采取有效措施，消除或减轻已经造成的污染；明确不同情况下的现场处置人员须采取的个人防护措施；组织建立现场警戒区和交通管制区域，确定重点防护区域，确定受威胁人员疏散的方式和途径，疏散转移受威胁人员至安全紧急避险场所。</w:t>
      </w:r>
    </w:p>
    <w:p w14:paraId="644BC74F">
      <w:pPr>
        <w:kinsoku w:val="0"/>
        <w:overflowPunct w:val="0"/>
        <w:autoSpaceDE w:val="0"/>
        <w:autoSpaceDN w:val="0"/>
        <w:adjustRightInd w:val="0"/>
        <w:snapToGrid w:val="0"/>
        <w:spacing w:line="360" w:lineRule="auto"/>
        <w:ind w:firstLine="560"/>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w:t>
      </w:r>
      <w:r>
        <w:rPr>
          <w:rFonts w:hint="default" w:ascii="仿宋_GB2312" w:hAnsi="仿宋_GB2312" w:eastAsia="仿宋_GB2312" w:cs="仿宋_GB2312"/>
          <w:color w:val="000000"/>
          <w:sz w:val="32"/>
          <w:szCs w:val="32"/>
          <w:lang w:val="en-US" w:eastAsia="zh-CN"/>
        </w:rPr>
        <w:t>应急监测组</w:t>
      </w:r>
    </w:p>
    <w:p w14:paraId="645D20E1">
      <w:pPr>
        <w:kinsoku w:val="0"/>
        <w:overflowPunct w:val="0"/>
        <w:autoSpaceDE w:val="0"/>
        <w:autoSpaceDN w:val="0"/>
        <w:adjustRightInd w:val="0"/>
        <w:snapToGrid w:val="0"/>
        <w:spacing w:line="360" w:lineRule="auto"/>
        <w:ind w:firstLine="560"/>
        <w:rPr>
          <w:rFonts w:hint="default"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由县生态环境分局牵头，县自然资源局、县水务局、县农业农村局、县气象局、县畜牧兽医服务中心、县环境监测站等部门组成。</w:t>
      </w:r>
    </w:p>
    <w:p w14:paraId="37F5D905">
      <w:pPr>
        <w:kinsoku w:val="0"/>
        <w:overflowPunct w:val="0"/>
        <w:autoSpaceDE w:val="0"/>
        <w:autoSpaceDN w:val="0"/>
        <w:adjustRightInd w:val="0"/>
        <w:snapToGrid w:val="0"/>
        <w:spacing w:line="360" w:lineRule="auto"/>
        <w:ind w:firstLine="560"/>
        <w:rPr>
          <w:rFonts w:hint="default"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组长：县生态环境分局局长</w:t>
      </w:r>
    </w:p>
    <w:p w14:paraId="4DE7F179">
      <w:pPr>
        <w:kinsoku w:val="0"/>
        <w:overflowPunct w:val="0"/>
        <w:autoSpaceDE w:val="0"/>
        <w:autoSpaceDN w:val="0"/>
        <w:adjustRightInd w:val="0"/>
        <w:snapToGrid w:val="0"/>
        <w:spacing w:line="360" w:lineRule="auto"/>
        <w:ind w:firstLine="560"/>
        <w:rPr>
          <w:rFonts w:hint="default"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副组长：县气象局局长、县生态环境分局副局长</w:t>
      </w:r>
    </w:p>
    <w:p w14:paraId="6A08D157">
      <w:pPr>
        <w:kinsoku w:val="0"/>
        <w:overflowPunct w:val="0"/>
        <w:autoSpaceDE w:val="0"/>
        <w:autoSpaceDN w:val="0"/>
        <w:adjustRightInd w:val="0"/>
        <w:snapToGrid w:val="0"/>
        <w:spacing w:line="360" w:lineRule="auto"/>
        <w:ind w:firstLine="560"/>
        <w:rPr>
          <w:rFonts w:hint="default"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主要职责：根据突发环境事件的污染物种类、性质以及事发地气象、自然、社会环境状况等，明确相应的应急监测方案及监测方法；确定污染物扩散范围，明确监测的布点和频次，做好大气、水体、土壤等应急监测，为突发环境事件应急决策提供依据。</w:t>
      </w:r>
    </w:p>
    <w:p w14:paraId="5C6D34B9">
      <w:pPr>
        <w:kinsoku w:val="0"/>
        <w:overflowPunct w:val="0"/>
        <w:autoSpaceDE w:val="0"/>
        <w:autoSpaceDN w:val="0"/>
        <w:adjustRightInd w:val="0"/>
        <w:snapToGrid w:val="0"/>
        <w:spacing w:line="360" w:lineRule="auto"/>
        <w:ind w:firstLine="560"/>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（3）</w:t>
      </w:r>
      <w:r>
        <w:rPr>
          <w:rFonts w:hint="default" w:ascii="仿宋_GB2312" w:hAnsi="仿宋_GB2312" w:eastAsia="仿宋_GB2312" w:cs="仿宋_GB2312"/>
          <w:color w:val="000000"/>
          <w:sz w:val="32"/>
          <w:szCs w:val="32"/>
          <w:lang w:val="en-US" w:eastAsia="zh-CN"/>
        </w:rPr>
        <w:t>医学救援组</w:t>
      </w:r>
    </w:p>
    <w:p w14:paraId="58CD287E">
      <w:pPr>
        <w:kinsoku w:val="0"/>
        <w:overflowPunct w:val="0"/>
        <w:autoSpaceDE w:val="0"/>
        <w:autoSpaceDN w:val="0"/>
        <w:adjustRightInd w:val="0"/>
        <w:snapToGrid w:val="0"/>
        <w:spacing w:line="360" w:lineRule="auto"/>
        <w:ind w:firstLine="560"/>
        <w:rPr>
          <w:rFonts w:hint="default"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由县卫健局牵头，县医保局、县生态环境分局、县市场监管局、县人民医院等部门组成。</w:t>
      </w:r>
    </w:p>
    <w:p w14:paraId="51BBA55D">
      <w:pPr>
        <w:kinsoku w:val="0"/>
        <w:overflowPunct w:val="0"/>
        <w:autoSpaceDE w:val="0"/>
        <w:autoSpaceDN w:val="0"/>
        <w:adjustRightInd w:val="0"/>
        <w:snapToGrid w:val="0"/>
        <w:spacing w:line="360" w:lineRule="auto"/>
        <w:ind w:firstLine="560"/>
        <w:rPr>
          <w:rFonts w:hint="default"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组长：县卫健局局长</w:t>
      </w:r>
    </w:p>
    <w:p w14:paraId="489EB921">
      <w:pPr>
        <w:kinsoku w:val="0"/>
        <w:overflowPunct w:val="0"/>
        <w:autoSpaceDE w:val="0"/>
        <w:autoSpaceDN w:val="0"/>
        <w:adjustRightInd w:val="0"/>
        <w:snapToGrid w:val="0"/>
        <w:spacing w:line="360" w:lineRule="auto"/>
        <w:ind w:firstLine="560"/>
        <w:rPr>
          <w:rFonts w:hint="default"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副组长：县医保局局长、县人民医院院长</w:t>
      </w:r>
    </w:p>
    <w:p w14:paraId="44F388E8">
      <w:pPr>
        <w:kinsoku w:val="0"/>
        <w:overflowPunct w:val="0"/>
        <w:autoSpaceDE w:val="0"/>
        <w:autoSpaceDN w:val="0"/>
        <w:adjustRightInd w:val="0"/>
        <w:snapToGrid w:val="0"/>
        <w:spacing w:line="360" w:lineRule="auto"/>
        <w:ind w:firstLine="560"/>
        <w:rPr>
          <w:rFonts w:hint="default"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主要职责：组织开展伤病员医疗救治、应急心理援助；指导和协助开展受污染人员的去污洗消工作；提出保护公众健康的措施建议；禁止或限制受污染食品和饮用水的生产、加工、流通和食用，防范因突发环境事件造成集体中毒等。</w:t>
      </w:r>
    </w:p>
    <w:p w14:paraId="4CEEF083">
      <w:pPr>
        <w:kinsoku w:val="0"/>
        <w:overflowPunct w:val="0"/>
        <w:autoSpaceDE w:val="0"/>
        <w:autoSpaceDN w:val="0"/>
        <w:adjustRightInd w:val="0"/>
        <w:snapToGrid w:val="0"/>
        <w:spacing w:line="360" w:lineRule="auto"/>
        <w:ind w:firstLine="560"/>
        <w:rPr>
          <w:rFonts w:hint="default"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（4）应急保障组</w:t>
      </w:r>
    </w:p>
    <w:p w14:paraId="5653FDC5">
      <w:pPr>
        <w:kinsoku w:val="0"/>
        <w:overflowPunct w:val="0"/>
        <w:autoSpaceDE w:val="0"/>
        <w:autoSpaceDN w:val="0"/>
        <w:adjustRightInd w:val="0"/>
        <w:snapToGrid w:val="0"/>
        <w:spacing w:line="360" w:lineRule="auto"/>
        <w:ind w:firstLine="560"/>
        <w:rPr>
          <w:rFonts w:hint="default"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由县应急局牵头，县发改局、县公安局、县民政局、县财政局、县生态环境分局、县自然资源局、县住建局、县水务局、等部门在县应急指挥部的统一领导下，按照各自工作职责分工负责。</w:t>
      </w:r>
    </w:p>
    <w:p w14:paraId="7D052C39">
      <w:pPr>
        <w:kinsoku w:val="0"/>
        <w:overflowPunct w:val="0"/>
        <w:autoSpaceDE w:val="0"/>
        <w:autoSpaceDN w:val="0"/>
        <w:adjustRightInd w:val="0"/>
        <w:snapToGrid w:val="0"/>
        <w:spacing w:line="360" w:lineRule="auto"/>
        <w:ind w:firstLine="560"/>
        <w:rPr>
          <w:rFonts w:hint="default"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组长：县应急局局长</w:t>
      </w:r>
    </w:p>
    <w:p w14:paraId="071CCD1B">
      <w:pPr>
        <w:kinsoku w:val="0"/>
        <w:overflowPunct w:val="0"/>
        <w:autoSpaceDE w:val="0"/>
        <w:autoSpaceDN w:val="0"/>
        <w:adjustRightInd w:val="0"/>
        <w:snapToGrid w:val="0"/>
        <w:spacing w:line="360" w:lineRule="auto"/>
        <w:ind w:firstLine="560"/>
        <w:rPr>
          <w:rFonts w:hint="default"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副组长：县财政局局长、县</w:t>
      </w:r>
      <w:r>
        <w:rPr>
          <w:rFonts w:hint="eastAsia" w:ascii="仿宋_GB2312" w:hAnsi="仿宋_GB2312" w:eastAsia="仿宋_GB2312" w:cs="仿宋_GB2312"/>
          <w:color w:val="000000"/>
          <w:sz w:val="32"/>
          <w:szCs w:val="32"/>
          <w:lang w:val="en-US" w:eastAsia="zh-CN"/>
        </w:rPr>
        <w:t>发改</w:t>
      </w:r>
      <w:r>
        <w:rPr>
          <w:rFonts w:hint="default" w:ascii="仿宋_GB2312" w:hAnsi="仿宋_GB2312" w:eastAsia="仿宋_GB2312" w:cs="仿宋_GB2312"/>
          <w:color w:val="000000"/>
          <w:sz w:val="32"/>
          <w:szCs w:val="32"/>
          <w:lang w:val="en-US" w:eastAsia="zh-CN"/>
        </w:rPr>
        <w:t>局局长</w:t>
      </w:r>
    </w:p>
    <w:p w14:paraId="1B67C8DB">
      <w:pPr>
        <w:kinsoku w:val="0"/>
        <w:overflowPunct w:val="0"/>
        <w:autoSpaceDE w:val="0"/>
        <w:autoSpaceDN w:val="0"/>
        <w:adjustRightInd w:val="0"/>
        <w:snapToGrid w:val="0"/>
        <w:spacing w:line="360" w:lineRule="auto"/>
        <w:ind w:firstLine="560"/>
        <w:rPr>
          <w:rFonts w:hint="default"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主要职责：指导做好事件影响区域有关人员的紧急转移和临时安置工作；组织做好环境应急救援物资及临时安置重要物资的紧急生产、储备调拨和紧急配送工作；及时组织调运重要生活类救灾物资，保障群众基本生活和市场供应；开展应急测绘工作。</w:t>
      </w:r>
    </w:p>
    <w:p w14:paraId="7209B836">
      <w:pPr>
        <w:kinsoku w:val="0"/>
        <w:overflowPunct w:val="0"/>
        <w:autoSpaceDE w:val="0"/>
        <w:autoSpaceDN w:val="0"/>
        <w:adjustRightInd w:val="0"/>
        <w:snapToGrid w:val="0"/>
        <w:spacing w:line="360" w:lineRule="auto"/>
        <w:ind w:firstLine="560"/>
        <w:rPr>
          <w:rFonts w:hint="default"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（5）新闻宣传组</w:t>
      </w:r>
    </w:p>
    <w:p w14:paraId="2E7666AC">
      <w:pPr>
        <w:kinsoku w:val="0"/>
        <w:overflowPunct w:val="0"/>
        <w:autoSpaceDE w:val="0"/>
        <w:autoSpaceDN w:val="0"/>
        <w:adjustRightInd w:val="0"/>
        <w:snapToGrid w:val="0"/>
        <w:spacing w:line="360" w:lineRule="auto"/>
        <w:ind w:firstLine="560"/>
        <w:rPr>
          <w:rFonts w:hint="default"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由县委宣传部牵头，县委网信办、县文旅局、县生态环境分局、县市场监管局、县融媒体中心等部门组成。</w:t>
      </w:r>
    </w:p>
    <w:p w14:paraId="401BF48C">
      <w:pPr>
        <w:kinsoku w:val="0"/>
        <w:overflowPunct w:val="0"/>
        <w:autoSpaceDE w:val="0"/>
        <w:autoSpaceDN w:val="0"/>
        <w:adjustRightInd w:val="0"/>
        <w:snapToGrid w:val="0"/>
        <w:spacing w:line="360" w:lineRule="auto"/>
        <w:ind w:firstLine="560"/>
        <w:rPr>
          <w:rFonts w:hint="default"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组长：县委宣传部副部长</w:t>
      </w:r>
    </w:p>
    <w:p w14:paraId="1AC078CA">
      <w:pPr>
        <w:kinsoku w:val="0"/>
        <w:overflowPunct w:val="0"/>
        <w:autoSpaceDE w:val="0"/>
        <w:autoSpaceDN w:val="0"/>
        <w:adjustRightInd w:val="0"/>
        <w:snapToGrid w:val="0"/>
        <w:spacing w:line="360" w:lineRule="auto"/>
        <w:ind w:firstLine="560"/>
        <w:rPr>
          <w:rFonts w:hint="default"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副组长：县文旅局局长、县融媒体中心主任</w:t>
      </w:r>
    </w:p>
    <w:p w14:paraId="72F71E07">
      <w:pPr>
        <w:kinsoku w:val="0"/>
        <w:overflowPunct w:val="0"/>
        <w:autoSpaceDE w:val="0"/>
        <w:autoSpaceDN w:val="0"/>
        <w:adjustRightInd w:val="0"/>
        <w:snapToGrid w:val="0"/>
        <w:spacing w:line="360" w:lineRule="auto"/>
        <w:ind w:firstLine="560"/>
        <w:rPr>
          <w:rFonts w:hint="default"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主要职责：组织开展事件进展、应急工作情况等权威信息发布，加强新闻宣传报道；收集分析市内外舆情和社会公众动态，加强媒体、通信和互联网管理，正确引导舆论；通过多种方式，通俗、权威、全面、前瞻地做好相关知识普及；及时澄清不实信息，回应社会关切。</w:t>
      </w:r>
    </w:p>
    <w:p w14:paraId="54AE326D">
      <w:pPr>
        <w:kinsoku w:val="0"/>
        <w:overflowPunct w:val="0"/>
        <w:autoSpaceDE w:val="0"/>
        <w:autoSpaceDN w:val="0"/>
        <w:adjustRightInd w:val="0"/>
        <w:snapToGrid w:val="0"/>
        <w:spacing w:line="360" w:lineRule="auto"/>
        <w:ind w:firstLine="560"/>
        <w:rPr>
          <w:rFonts w:hint="default"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（6）社会稳定组</w:t>
      </w:r>
    </w:p>
    <w:p w14:paraId="4D912879">
      <w:pPr>
        <w:kinsoku w:val="0"/>
        <w:overflowPunct w:val="0"/>
        <w:autoSpaceDE w:val="0"/>
        <w:autoSpaceDN w:val="0"/>
        <w:adjustRightInd w:val="0"/>
        <w:snapToGrid w:val="0"/>
        <w:spacing w:line="360" w:lineRule="auto"/>
        <w:ind w:firstLine="560"/>
        <w:rPr>
          <w:rFonts w:hint="default"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由县公安局牵头，县信访局、县司法局、县民政局、县市场监管局、县生态环境分局、县应急局等部门组成。</w:t>
      </w:r>
    </w:p>
    <w:p w14:paraId="71F1CFD2">
      <w:pPr>
        <w:kinsoku w:val="0"/>
        <w:overflowPunct w:val="0"/>
        <w:autoSpaceDE w:val="0"/>
        <w:autoSpaceDN w:val="0"/>
        <w:adjustRightInd w:val="0"/>
        <w:snapToGrid w:val="0"/>
        <w:spacing w:line="360" w:lineRule="auto"/>
        <w:ind w:firstLine="560"/>
        <w:rPr>
          <w:rFonts w:hint="default"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组长：县公安局局长</w:t>
      </w:r>
    </w:p>
    <w:p w14:paraId="09AC0DA0">
      <w:pPr>
        <w:kinsoku w:val="0"/>
        <w:overflowPunct w:val="0"/>
        <w:autoSpaceDE w:val="0"/>
        <w:autoSpaceDN w:val="0"/>
        <w:adjustRightInd w:val="0"/>
        <w:snapToGrid w:val="0"/>
        <w:spacing w:line="360" w:lineRule="auto"/>
        <w:ind w:firstLine="560"/>
        <w:rPr>
          <w:rFonts w:hint="default"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副组长：县应急局局长、县民政局局长、县信访局局长</w:t>
      </w:r>
    </w:p>
    <w:p w14:paraId="2CED5687">
      <w:pPr>
        <w:kinsoku w:val="0"/>
        <w:overflowPunct w:val="0"/>
        <w:autoSpaceDE w:val="0"/>
        <w:autoSpaceDN w:val="0"/>
        <w:adjustRightInd w:val="0"/>
        <w:snapToGrid w:val="0"/>
        <w:spacing w:line="360" w:lineRule="auto"/>
        <w:ind w:firstLine="560"/>
        <w:rPr>
          <w:rFonts w:hint="default"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主要职责：加强事故现场安全警戒，建立现场警戒区、交通管制区域和重点防护区域；加强受影响地区社会治安管理，严厉打击借机传播谣言、制造社会恐慌、哄抢物资等违法犯罪行为；加强转移人员安置点、救灾物资存放点等重点地区治安管控；做好受影响人员与涉事单位、地方人民政府及有关部门矛盾纠纷化解和法律服务工作，防止出现群体性事件，维护社会稳定；加强对重要生活必需品等商品的市场监管和调控，打击囤积居奇行为。</w:t>
      </w:r>
    </w:p>
    <w:p w14:paraId="049A45F5">
      <w:pPr>
        <w:kinsoku w:val="0"/>
        <w:overflowPunct w:val="0"/>
        <w:autoSpaceDE w:val="0"/>
        <w:autoSpaceDN w:val="0"/>
        <w:adjustRightInd w:val="0"/>
        <w:snapToGrid w:val="0"/>
        <w:spacing w:line="360" w:lineRule="auto"/>
        <w:ind w:firstLine="560"/>
        <w:rPr>
          <w:rFonts w:hint="default"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（7）调查评估组</w:t>
      </w:r>
    </w:p>
    <w:p w14:paraId="4FA7C721">
      <w:pPr>
        <w:kinsoku w:val="0"/>
        <w:overflowPunct w:val="0"/>
        <w:autoSpaceDE w:val="0"/>
        <w:autoSpaceDN w:val="0"/>
        <w:adjustRightInd w:val="0"/>
        <w:snapToGrid w:val="0"/>
        <w:spacing w:line="360" w:lineRule="auto"/>
        <w:ind w:firstLine="560"/>
        <w:rPr>
          <w:rFonts w:hint="default"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由县生态环境分局牵头，县公安局、县应急局、县民政局、县住建局、县水务局、县农业农村局、县林草局、县地震局、县气象局、事发地和受影响地乡（镇）政府等单位组成。</w:t>
      </w:r>
    </w:p>
    <w:p w14:paraId="03C843B9">
      <w:pPr>
        <w:kinsoku w:val="0"/>
        <w:overflowPunct w:val="0"/>
        <w:autoSpaceDE w:val="0"/>
        <w:autoSpaceDN w:val="0"/>
        <w:adjustRightInd w:val="0"/>
        <w:snapToGrid w:val="0"/>
        <w:spacing w:line="360" w:lineRule="auto"/>
        <w:ind w:firstLine="560"/>
        <w:rPr>
          <w:rFonts w:hint="default"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组长：县生态环境分局局长</w:t>
      </w:r>
    </w:p>
    <w:p w14:paraId="12B5EB1F">
      <w:pPr>
        <w:kinsoku w:val="0"/>
        <w:overflowPunct w:val="0"/>
        <w:autoSpaceDE w:val="0"/>
        <w:autoSpaceDN w:val="0"/>
        <w:adjustRightInd w:val="0"/>
        <w:snapToGrid w:val="0"/>
        <w:spacing w:line="360" w:lineRule="auto"/>
        <w:ind w:firstLine="560"/>
        <w:rPr>
          <w:rFonts w:hint="default"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副组长：县应急局局长、县住建局局长</w:t>
      </w:r>
    </w:p>
    <w:p w14:paraId="74C75BEE">
      <w:pPr>
        <w:kinsoku w:val="0"/>
        <w:overflowPunct w:val="0"/>
        <w:autoSpaceDE w:val="0"/>
        <w:autoSpaceDN w:val="0"/>
        <w:adjustRightInd w:val="0"/>
        <w:snapToGrid w:val="0"/>
        <w:spacing w:line="360" w:lineRule="auto"/>
        <w:ind w:firstLine="560"/>
        <w:rPr>
          <w:rFonts w:hint="default"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主要职责：开展突发环境事件环境污染损害调查，委托第三方专业咨询机构或提请省生态环境厅开展评估、核实事件造成的损失情况；对较大以下突发环境事件的起因、性质、影响、责任、经验教训和恢复重建等问题进行调查评估；对应急处置过程、有关人员的责任、应急处置工作的经验、存在的问题等情况进行分析。</w:t>
      </w:r>
    </w:p>
    <w:p w14:paraId="28B8D790">
      <w:pPr>
        <w:kinsoku w:val="0"/>
        <w:overflowPunct w:val="0"/>
        <w:autoSpaceDE w:val="0"/>
        <w:autoSpaceDN w:val="0"/>
        <w:adjustRightInd w:val="0"/>
        <w:snapToGrid w:val="0"/>
        <w:spacing w:line="360" w:lineRule="auto"/>
        <w:ind w:firstLine="560"/>
        <w:rPr>
          <w:rFonts w:hint="default"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（8）应急专家组</w:t>
      </w:r>
    </w:p>
    <w:p w14:paraId="3C728514">
      <w:pPr>
        <w:kinsoku w:val="0"/>
        <w:overflowPunct w:val="0"/>
        <w:autoSpaceDE w:val="0"/>
        <w:autoSpaceDN w:val="0"/>
        <w:adjustRightInd w:val="0"/>
        <w:snapToGrid w:val="0"/>
        <w:spacing w:line="360" w:lineRule="auto"/>
        <w:ind w:firstLine="560"/>
        <w:rPr>
          <w:rFonts w:hint="default"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由县生态环境分局、县公安局、县应急局、县民政局、县住建局、县水务局、县农业农村局、县林草局、县地震局、县气象局等有关单位的专家组成专家组。</w:t>
      </w:r>
    </w:p>
    <w:p w14:paraId="2876010F">
      <w:pPr>
        <w:kinsoku w:val="0"/>
        <w:overflowPunct w:val="0"/>
        <w:autoSpaceDE w:val="0"/>
        <w:autoSpaceDN w:val="0"/>
        <w:adjustRightInd w:val="0"/>
        <w:snapToGrid w:val="0"/>
        <w:spacing w:line="360" w:lineRule="auto"/>
        <w:ind w:firstLine="560"/>
        <w:rPr>
          <w:rFonts w:hint="default"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主要职责：参与指导突发环境事件的应急处置工作，为县应急指挥部决策提供技术支持。</w:t>
      </w:r>
    </w:p>
    <w:p w14:paraId="02A4CFEE">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default" w:ascii="楷体_GB2312" w:hAnsi="楷体_GB2312" w:eastAsia="楷体_GB2312" w:cs="楷体_GB2312"/>
          <w:b w:val="0"/>
          <w:bCs w:val="0"/>
          <w:kern w:val="2"/>
          <w:sz w:val="32"/>
          <w:szCs w:val="32"/>
          <w:lang w:val="en-US" w:eastAsia="zh-CN" w:bidi="ar-SA"/>
        </w:rPr>
      </w:pPr>
      <w:bookmarkStart w:id="97" w:name="_Toc1425809766"/>
      <w:r>
        <w:rPr>
          <w:rFonts w:hint="eastAsia" w:ascii="楷体_GB2312" w:hAnsi="楷体_GB2312" w:eastAsia="楷体_GB2312" w:cs="楷体_GB2312"/>
          <w:b w:val="0"/>
          <w:bCs w:val="0"/>
          <w:kern w:val="2"/>
          <w:sz w:val="32"/>
          <w:szCs w:val="32"/>
          <w:lang w:val="en-US" w:eastAsia="zh-CN" w:bidi="ar-SA"/>
        </w:rPr>
        <w:t>（三）</w:t>
      </w:r>
      <w:r>
        <w:rPr>
          <w:rFonts w:hint="default" w:ascii="楷体_GB2312" w:hAnsi="楷体_GB2312" w:eastAsia="楷体_GB2312" w:cs="楷体_GB2312"/>
          <w:b w:val="0"/>
          <w:bCs w:val="0"/>
          <w:kern w:val="2"/>
          <w:sz w:val="32"/>
          <w:szCs w:val="32"/>
          <w:lang w:val="en-US" w:eastAsia="zh-CN" w:bidi="ar-SA"/>
        </w:rPr>
        <w:t>乡（镇）机构</w:t>
      </w:r>
      <w:bookmarkEnd w:id="96"/>
      <w:bookmarkEnd w:id="97"/>
    </w:p>
    <w:p w14:paraId="6C5F4948">
      <w:pPr>
        <w:kinsoku w:val="0"/>
        <w:overflowPunct w:val="0"/>
        <w:autoSpaceDE w:val="0"/>
        <w:autoSpaceDN w:val="0"/>
        <w:adjustRightInd w:val="0"/>
        <w:snapToGrid w:val="0"/>
        <w:spacing w:line="360" w:lineRule="auto"/>
        <w:ind w:firstLine="560"/>
        <w:rPr>
          <w:rFonts w:hint="default" w:ascii="Times New Roman" w:hAnsi="Times New Roman" w:eastAsia="仿宋_GB2312" w:cs="Times New Roman"/>
          <w:sz w:val="32"/>
          <w:szCs w:val="32"/>
        </w:rPr>
      </w:pPr>
      <w:r>
        <w:rPr>
          <w:rFonts w:hint="eastAsia" w:ascii="仿宋_GB2312" w:hAnsi="仿宋_GB2312" w:eastAsia="仿宋_GB2312" w:cs="仿宋_GB2312"/>
          <w:color w:val="000000"/>
          <w:sz w:val="32"/>
          <w:szCs w:val="32"/>
          <w:lang w:val="en-US" w:eastAsia="zh-CN"/>
        </w:rPr>
        <w:t>乡（镇）人民政府</w:t>
      </w:r>
      <w:r>
        <w:rPr>
          <w:rFonts w:hint="eastAsia" w:ascii="仿宋_GB2312" w:hAnsi="仿宋_GB2312" w:eastAsia="仿宋_GB2312" w:cs="仿宋_GB2312"/>
          <w:color w:val="000000"/>
          <w:sz w:val="32"/>
          <w:szCs w:val="32"/>
        </w:rPr>
        <w:t>应成立突发环境事件应急指挥部，负责本行政区域突发环境事件的应对工作。突发环境事件发生后，事发地政府立即启动地方突发环境事件应急预案，第一时间采取应急处置措施，开展应急处置；及时向</w:t>
      </w:r>
      <w:r>
        <w:rPr>
          <w:rFonts w:hint="eastAsia" w:ascii="仿宋_GB2312" w:hAnsi="仿宋_GB2312" w:eastAsia="仿宋_GB2312" w:cs="仿宋_GB2312"/>
          <w:color w:val="000000"/>
          <w:sz w:val="32"/>
          <w:szCs w:val="32"/>
          <w:lang w:val="en-US" w:eastAsia="zh-CN"/>
        </w:rPr>
        <w:t>县</w:t>
      </w:r>
      <w:r>
        <w:rPr>
          <w:rFonts w:hint="eastAsia" w:ascii="仿宋_GB2312" w:hAnsi="仿宋_GB2312" w:eastAsia="仿宋_GB2312" w:cs="仿宋_GB2312"/>
          <w:color w:val="000000"/>
          <w:sz w:val="32"/>
          <w:szCs w:val="32"/>
        </w:rPr>
        <w:t>政府和</w:t>
      </w:r>
      <w:r>
        <w:rPr>
          <w:rFonts w:hint="eastAsia" w:ascii="仿宋_GB2312" w:hAnsi="仿宋_GB2312" w:eastAsia="仿宋_GB2312" w:cs="仿宋_GB2312"/>
          <w:color w:val="000000"/>
          <w:sz w:val="32"/>
          <w:szCs w:val="32"/>
          <w:lang w:val="en-US" w:eastAsia="zh-CN"/>
        </w:rPr>
        <w:t>县</w:t>
      </w:r>
      <w:r>
        <w:rPr>
          <w:rFonts w:hint="eastAsia" w:ascii="仿宋_GB2312" w:hAnsi="仿宋_GB2312" w:eastAsia="仿宋_GB2312" w:cs="仿宋_GB2312"/>
          <w:color w:val="000000"/>
          <w:sz w:val="32"/>
          <w:szCs w:val="32"/>
        </w:rPr>
        <w:t>应急指挥部报告事件</w:t>
      </w:r>
      <w:r>
        <w:rPr>
          <w:rFonts w:hint="default" w:ascii="仿宋_GB2312" w:hAnsi="仿宋_GB2312" w:eastAsia="仿宋_GB2312" w:cs="仿宋_GB2312"/>
          <w:color w:val="000000"/>
          <w:sz w:val="32"/>
          <w:szCs w:val="32"/>
          <w:lang w:val="en-US" w:eastAsia="zh-CN"/>
        </w:rPr>
        <w:t>情况。由县级以上指挥部协调处置的突发环境事件，乡（镇）应急指挥部要按照职责分工，密切配合，共同做好突发环境事件应对工作。</w:t>
      </w:r>
      <w:bookmarkEnd w:id="93"/>
    </w:p>
    <w:p w14:paraId="2A56CA3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p>
    <w:p w14:paraId="0DAFD25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p>
    <w:p w14:paraId="22DC612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p>
    <w:p w14:paraId="09CD8C6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p>
    <w:p w14:paraId="05D56C1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w:t>
      </w:r>
      <w:r>
        <w:rPr>
          <w:rFonts w:hint="eastAsia"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 xml:space="preserve"> 肃南县突发生态环境事件应急工作联系表</w:t>
      </w:r>
    </w:p>
    <w:tbl>
      <w:tblPr>
        <w:tblStyle w:val="3"/>
        <w:tblW w:w="906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906"/>
        <w:gridCol w:w="2440"/>
        <w:gridCol w:w="2714"/>
      </w:tblGrid>
      <w:tr w14:paraId="40B096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3906" w:type="dxa"/>
            <w:tcBorders>
              <w:top w:val="single" w:color="000000" w:sz="4" w:space="0"/>
              <w:left w:val="single" w:color="000000" w:sz="4" w:space="0"/>
              <w:bottom w:val="single" w:color="000000" w:sz="4" w:space="0"/>
              <w:right w:val="single" w:color="000000" w:sz="4" w:space="0"/>
            </w:tcBorders>
            <w:noWrap w:val="0"/>
            <w:vAlign w:val="center"/>
          </w:tcPr>
          <w:p w14:paraId="61873040">
            <w:pPr>
              <w:adjustRightInd w:val="0"/>
              <w:snapToGrid w:val="0"/>
              <w:spacing w:line="370" w:lineRule="exact"/>
              <w:ind w:left="0" w:leftChars="0" w:firstLine="0" w:firstLineChars="0"/>
              <w:jc w:val="center"/>
              <w:rPr>
                <w:rFonts w:hint="default" w:ascii="Times New Roman" w:hAnsi="Times New Roman" w:eastAsia="仿宋" w:cs="Times New Roman"/>
                <w:b/>
                <w:color w:val="000000"/>
                <w:sz w:val="24"/>
                <w:szCs w:val="24"/>
              </w:rPr>
            </w:pPr>
            <w:r>
              <w:rPr>
                <w:rFonts w:hint="default" w:ascii="Times New Roman" w:hAnsi="Times New Roman" w:eastAsia="仿宋" w:cs="Times New Roman"/>
                <w:b/>
                <w:color w:val="000000"/>
                <w:sz w:val="24"/>
                <w:szCs w:val="24"/>
              </w:rPr>
              <w:t>单  位</w:t>
            </w:r>
          </w:p>
        </w:tc>
        <w:tc>
          <w:tcPr>
            <w:tcW w:w="2440" w:type="dxa"/>
            <w:tcBorders>
              <w:top w:val="single" w:color="000000" w:sz="4" w:space="0"/>
              <w:left w:val="single" w:color="000000" w:sz="4" w:space="0"/>
              <w:bottom w:val="single" w:color="000000" w:sz="4" w:space="0"/>
              <w:right w:val="single" w:color="000000" w:sz="4" w:space="0"/>
            </w:tcBorders>
            <w:noWrap w:val="0"/>
            <w:vAlign w:val="center"/>
          </w:tcPr>
          <w:p w14:paraId="351BDDF1">
            <w:pPr>
              <w:adjustRightInd w:val="0"/>
              <w:snapToGrid w:val="0"/>
              <w:spacing w:line="370" w:lineRule="exact"/>
              <w:ind w:left="0" w:leftChars="0" w:firstLine="0" w:firstLineChars="0"/>
              <w:jc w:val="center"/>
              <w:rPr>
                <w:rFonts w:hint="default" w:ascii="Times New Roman" w:hAnsi="Times New Roman" w:eastAsia="仿宋" w:cs="Times New Roman"/>
                <w:b/>
                <w:color w:val="000000"/>
                <w:sz w:val="24"/>
                <w:szCs w:val="24"/>
              </w:rPr>
            </w:pPr>
            <w:r>
              <w:rPr>
                <w:rFonts w:hint="default" w:ascii="Times New Roman" w:hAnsi="Times New Roman" w:eastAsia="仿宋" w:cs="Times New Roman"/>
                <w:b/>
                <w:color w:val="000000"/>
                <w:sz w:val="24"/>
                <w:szCs w:val="24"/>
              </w:rPr>
              <w:t>值班电话</w:t>
            </w:r>
          </w:p>
        </w:tc>
        <w:tc>
          <w:tcPr>
            <w:tcW w:w="2714" w:type="dxa"/>
            <w:tcBorders>
              <w:top w:val="single" w:color="000000" w:sz="4" w:space="0"/>
              <w:left w:val="single" w:color="000000" w:sz="4" w:space="0"/>
              <w:bottom w:val="single" w:color="000000" w:sz="4" w:space="0"/>
              <w:right w:val="single" w:color="000000" w:sz="4" w:space="0"/>
            </w:tcBorders>
            <w:noWrap w:val="0"/>
            <w:vAlign w:val="center"/>
          </w:tcPr>
          <w:p w14:paraId="750C0827">
            <w:pPr>
              <w:adjustRightInd w:val="0"/>
              <w:snapToGrid w:val="0"/>
              <w:spacing w:line="370" w:lineRule="exact"/>
              <w:ind w:left="0" w:leftChars="0" w:firstLine="0" w:firstLineChars="0"/>
              <w:jc w:val="center"/>
              <w:rPr>
                <w:rFonts w:hint="default" w:ascii="Times New Roman" w:hAnsi="Times New Roman" w:eastAsia="仿宋" w:cs="Times New Roman"/>
                <w:b/>
                <w:color w:val="000000"/>
                <w:sz w:val="24"/>
                <w:szCs w:val="24"/>
              </w:rPr>
            </w:pPr>
            <w:r>
              <w:rPr>
                <w:rFonts w:hint="default" w:ascii="Times New Roman" w:hAnsi="Times New Roman" w:eastAsia="仿宋" w:cs="Times New Roman"/>
                <w:b/>
                <w:color w:val="000000"/>
                <w:sz w:val="24"/>
                <w:szCs w:val="24"/>
              </w:rPr>
              <w:t>传  真</w:t>
            </w:r>
          </w:p>
        </w:tc>
      </w:tr>
      <w:tr w14:paraId="24F6EA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3906" w:type="dxa"/>
            <w:tcBorders>
              <w:top w:val="single" w:color="000000" w:sz="4" w:space="0"/>
              <w:left w:val="single" w:color="000000" w:sz="4" w:space="0"/>
              <w:bottom w:val="single" w:color="000000" w:sz="4" w:space="0"/>
              <w:right w:val="single" w:color="000000" w:sz="4" w:space="0"/>
            </w:tcBorders>
            <w:noWrap w:val="0"/>
            <w:vAlign w:val="center"/>
          </w:tcPr>
          <w:p w14:paraId="67C39C42">
            <w:pPr>
              <w:adjustRightInd w:val="0"/>
              <w:snapToGrid w:val="0"/>
              <w:spacing w:line="370" w:lineRule="exact"/>
              <w:ind w:left="0" w:leftChars="0" w:firstLine="0" w:firstLineChars="0"/>
              <w:jc w:val="center"/>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市委市政府总值班室</w:t>
            </w:r>
          </w:p>
        </w:tc>
        <w:tc>
          <w:tcPr>
            <w:tcW w:w="2440" w:type="dxa"/>
            <w:tcBorders>
              <w:top w:val="single" w:color="000000" w:sz="4" w:space="0"/>
              <w:left w:val="single" w:color="000000" w:sz="4" w:space="0"/>
              <w:bottom w:val="single" w:color="000000" w:sz="4" w:space="0"/>
              <w:right w:val="single" w:color="000000" w:sz="4" w:space="0"/>
            </w:tcBorders>
            <w:noWrap w:val="0"/>
            <w:vAlign w:val="center"/>
          </w:tcPr>
          <w:p w14:paraId="4288F764">
            <w:pPr>
              <w:adjustRightInd w:val="0"/>
              <w:snapToGrid w:val="0"/>
              <w:spacing w:line="370" w:lineRule="exact"/>
              <w:ind w:left="0" w:leftChars="0" w:firstLine="0" w:firstLineChars="0"/>
              <w:jc w:val="center"/>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0936-8224661</w:t>
            </w:r>
          </w:p>
        </w:tc>
        <w:tc>
          <w:tcPr>
            <w:tcW w:w="2714" w:type="dxa"/>
            <w:tcBorders>
              <w:top w:val="single" w:color="000000" w:sz="4" w:space="0"/>
              <w:left w:val="single" w:color="000000" w:sz="4" w:space="0"/>
              <w:bottom w:val="single" w:color="000000" w:sz="4" w:space="0"/>
              <w:right w:val="single" w:color="000000" w:sz="4" w:space="0"/>
            </w:tcBorders>
            <w:noWrap w:val="0"/>
            <w:vAlign w:val="center"/>
          </w:tcPr>
          <w:p w14:paraId="112B0538">
            <w:pPr>
              <w:adjustRightInd w:val="0"/>
              <w:snapToGrid w:val="0"/>
              <w:spacing w:line="370" w:lineRule="exact"/>
              <w:ind w:left="0" w:leftChars="0" w:firstLine="0" w:firstLineChars="0"/>
              <w:jc w:val="center"/>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0936-8224661</w:t>
            </w:r>
          </w:p>
        </w:tc>
      </w:tr>
      <w:tr w14:paraId="68D407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3906" w:type="dxa"/>
            <w:tcBorders>
              <w:top w:val="single" w:color="000000" w:sz="4" w:space="0"/>
              <w:left w:val="single" w:color="000000" w:sz="4" w:space="0"/>
              <w:bottom w:val="single" w:color="000000" w:sz="4" w:space="0"/>
              <w:right w:val="single" w:color="000000" w:sz="4" w:space="0"/>
            </w:tcBorders>
            <w:noWrap w:val="0"/>
            <w:vAlign w:val="center"/>
          </w:tcPr>
          <w:p w14:paraId="09AC8764">
            <w:pPr>
              <w:adjustRightInd w:val="0"/>
              <w:snapToGrid w:val="0"/>
              <w:spacing w:line="370" w:lineRule="exact"/>
              <w:ind w:left="0" w:leftChars="0" w:firstLine="0" w:firstLineChars="0"/>
              <w:jc w:val="center"/>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市生态环境局</w:t>
            </w:r>
          </w:p>
        </w:tc>
        <w:tc>
          <w:tcPr>
            <w:tcW w:w="2440" w:type="dxa"/>
            <w:tcBorders>
              <w:top w:val="single" w:color="000000" w:sz="4" w:space="0"/>
              <w:left w:val="single" w:color="000000" w:sz="4" w:space="0"/>
              <w:bottom w:val="single" w:color="000000" w:sz="4" w:space="0"/>
              <w:right w:val="single" w:color="000000" w:sz="4" w:space="0"/>
            </w:tcBorders>
            <w:noWrap w:val="0"/>
            <w:vAlign w:val="center"/>
          </w:tcPr>
          <w:p w14:paraId="1CE67FA8">
            <w:pPr>
              <w:adjustRightInd w:val="0"/>
              <w:snapToGrid w:val="0"/>
              <w:spacing w:line="370" w:lineRule="exact"/>
              <w:ind w:left="0" w:leftChars="0" w:firstLine="0" w:firstLineChars="0"/>
              <w:jc w:val="center"/>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0936-8278242</w:t>
            </w:r>
          </w:p>
        </w:tc>
        <w:tc>
          <w:tcPr>
            <w:tcW w:w="2714" w:type="dxa"/>
            <w:tcBorders>
              <w:top w:val="single" w:color="000000" w:sz="4" w:space="0"/>
              <w:left w:val="single" w:color="000000" w:sz="4" w:space="0"/>
              <w:bottom w:val="single" w:color="000000" w:sz="4" w:space="0"/>
              <w:right w:val="single" w:color="000000" w:sz="4" w:space="0"/>
            </w:tcBorders>
            <w:noWrap w:val="0"/>
            <w:vAlign w:val="center"/>
          </w:tcPr>
          <w:p w14:paraId="2C788B86">
            <w:pPr>
              <w:adjustRightInd w:val="0"/>
              <w:snapToGrid w:val="0"/>
              <w:spacing w:line="370" w:lineRule="exact"/>
              <w:ind w:left="0" w:leftChars="0" w:firstLine="0" w:firstLineChars="0"/>
              <w:jc w:val="center"/>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0936-82782</w:t>
            </w:r>
            <w:r>
              <w:rPr>
                <w:rFonts w:hint="eastAsia" w:eastAsia="仿宋" w:cs="Times New Roman"/>
                <w:color w:val="000000"/>
                <w:sz w:val="24"/>
                <w:szCs w:val="24"/>
                <w:lang w:val="en-US" w:eastAsia="zh-CN"/>
              </w:rPr>
              <w:t>3</w:t>
            </w:r>
            <w:r>
              <w:rPr>
                <w:rFonts w:hint="default" w:ascii="Times New Roman" w:hAnsi="Times New Roman" w:eastAsia="仿宋" w:cs="Times New Roman"/>
                <w:color w:val="000000"/>
                <w:sz w:val="24"/>
                <w:szCs w:val="24"/>
              </w:rPr>
              <w:t>2</w:t>
            </w:r>
          </w:p>
        </w:tc>
      </w:tr>
      <w:tr w14:paraId="31966F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3906" w:type="dxa"/>
            <w:tcBorders>
              <w:top w:val="single" w:color="000000" w:sz="4" w:space="0"/>
              <w:left w:val="single" w:color="000000" w:sz="4" w:space="0"/>
              <w:bottom w:val="single" w:color="000000" w:sz="4" w:space="0"/>
              <w:right w:val="single" w:color="000000" w:sz="4" w:space="0"/>
            </w:tcBorders>
            <w:noWrap w:val="0"/>
            <w:vAlign w:val="center"/>
          </w:tcPr>
          <w:p w14:paraId="27337DE9">
            <w:pPr>
              <w:adjustRightInd w:val="0"/>
              <w:snapToGrid w:val="0"/>
              <w:spacing w:line="370" w:lineRule="exact"/>
              <w:ind w:left="0" w:leftChars="0" w:firstLine="0" w:firstLineChars="0"/>
              <w:jc w:val="center"/>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县委办</w:t>
            </w:r>
          </w:p>
        </w:tc>
        <w:tc>
          <w:tcPr>
            <w:tcW w:w="2440" w:type="dxa"/>
            <w:tcBorders>
              <w:top w:val="single" w:color="000000" w:sz="4" w:space="0"/>
              <w:left w:val="single" w:color="000000" w:sz="4" w:space="0"/>
              <w:bottom w:val="single" w:color="000000" w:sz="4" w:space="0"/>
              <w:right w:val="single" w:color="000000" w:sz="4" w:space="0"/>
            </w:tcBorders>
            <w:noWrap w:val="0"/>
            <w:vAlign w:val="center"/>
          </w:tcPr>
          <w:p w14:paraId="110EF5BD">
            <w:pPr>
              <w:adjustRightInd w:val="0"/>
              <w:snapToGrid w:val="0"/>
              <w:spacing w:line="370" w:lineRule="exact"/>
              <w:ind w:left="0" w:leftChars="0" w:firstLine="0" w:firstLineChars="0"/>
              <w:jc w:val="center"/>
              <w:rPr>
                <w:rFonts w:hint="default" w:ascii="Times New Roman" w:hAnsi="Times New Roman" w:eastAsia="仿宋" w:cs="Times New Roman"/>
                <w:color w:val="000000"/>
                <w:sz w:val="24"/>
                <w:szCs w:val="24"/>
                <w:lang w:val="en-US" w:eastAsia="zh-CN"/>
              </w:rPr>
            </w:pPr>
            <w:r>
              <w:rPr>
                <w:rFonts w:hint="default" w:ascii="Times New Roman" w:hAnsi="Times New Roman" w:eastAsia="仿宋" w:cs="Times New Roman"/>
                <w:color w:val="000000"/>
                <w:sz w:val="24"/>
                <w:szCs w:val="24"/>
              </w:rPr>
              <w:t>0936-6121</w:t>
            </w:r>
            <w:r>
              <w:rPr>
                <w:rFonts w:hint="eastAsia" w:eastAsia="仿宋" w:cs="Times New Roman"/>
                <w:color w:val="000000"/>
                <w:sz w:val="24"/>
                <w:szCs w:val="24"/>
                <w:lang w:val="en-US" w:eastAsia="zh-CN"/>
              </w:rPr>
              <w:t>121</w:t>
            </w:r>
          </w:p>
        </w:tc>
        <w:tc>
          <w:tcPr>
            <w:tcW w:w="2714" w:type="dxa"/>
            <w:tcBorders>
              <w:top w:val="single" w:color="000000" w:sz="4" w:space="0"/>
              <w:left w:val="single" w:color="000000" w:sz="4" w:space="0"/>
              <w:bottom w:val="single" w:color="000000" w:sz="4" w:space="0"/>
              <w:right w:val="single" w:color="000000" w:sz="4" w:space="0"/>
            </w:tcBorders>
            <w:noWrap w:val="0"/>
            <w:vAlign w:val="center"/>
          </w:tcPr>
          <w:p w14:paraId="00E46BBF">
            <w:pPr>
              <w:adjustRightInd w:val="0"/>
              <w:snapToGrid w:val="0"/>
              <w:spacing w:line="370" w:lineRule="exact"/>
              <w:ind w:left="0" w:leftChars="0" w:firstLine="0" w:firstLineChars="0"/>
              <w:jc w:val="center"/>
              <w:rPr>
                <w:rFonts w:hint="default" w:ascii="Times New Roman" w:hAnsi="Times New Roman" w:eastAsia="仿宋" w:cs="Times New Roman"/>
                <w:color w:val="000000"/>
                <w:sz w:val="24"/>
                <w:szCs w:val="24"/>
                <w:lang w:val="en-US" w:eastAsia="zh-CN"/>
              </w:rPr>
            </w:pPr>
            <w:r>
              <w:rPr>
                <w:rFonts w:hint="default" w:ascii="Times New Roman" w:hAnsi="Times New Roman" w:eastAsia="仿宋" w:cs="Times New Roman"/>
                <w:color w:val="000000"/>
                <w:sz w:val="24"/>
                <w:szCs w:val="24"/>
              </w:rPr>
              <w:t>0936-6121</w:t>
            </w:r>
            <w:r>
              <w:rPr>
                <w:rFonts w:hint="eastAsia" w:eastAsia="仿宋" w:cs="Times New Roman"/>
                <w:color w:val="000000"/>
                <w:sz w:val="24"/>
                <w:szCs w:val="24"/>
                <w:lang w:val="en-US" w:eastAsia="zh-CN"/>
              </w:rPr>
              <w:t>471</w:t>
            </w:r>
          </w:p>
        </w:tc>
      </w:tr>
      <w:tr w14:paraId="0485DD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3906" w:type="dxa"/>
            <w:tcBorders>
              <w:top w:val="single" w:color="000000" w:sz="4" w:space="0"/>
              <w:left w:val="single" w:color="000000" w:sz="4" w:space="0"/>
              <w:bottom w:val="single" w:color="000000" w:sz="4" w:space="0"/>
              <w:right w:val="single" w:color="000000" w:sz="4" w:space="0"/>
            </w:tcBorders>
            <w:noWrap w:val="0"/>
            <w:vAlign w:val="center"/>
          </w:tcPr>
          <w:p w14:paraId="0D7D1E09">
            <w:pPr>
              <w:adjustRightInd w:val="0"/>
              <w:snapToGrid w:val="0"/>
              <w:spacing w:line="370" w:lineRule="exact"/>
              <w:ind w:left="0" w:leftChars="0" w:firstLine="0" w:firstLineChars="0"/>
              <w:jc w:val="center"/>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县政府办</w:t>
            </w:r>
          </w:p>
        </w:tc>
        <w:tc>
          <w:tcPr>
            <w:tcW w:w="2440" w:type="dxa"/>
            <w:tcBorders>
              <w:top w:val="single" w:color="000000" w:sz="4" w:space="0"/>
              <w:left w:val="single" w:color="000000" w:sz="4" w:space="0"/>
              <w:bottom w:val="single" w:color="000000" w:sz="4" w:space="0"/>
              <w:right w:val="single" w:color="000000" w:sz="4" w:space="0"/>
            </w:tcBorders>
            <w:noWrap w:val="0"/>
            <w:vAlign w:val="center"/>
          </w:tcPr>
          <w:p w14:paraId="3B0AD07F">
            <w:pPr>
              <w:adjustRightInd w:val="0"/>
              <w:snapToGrid w:val="0"/>
              <w:spacing w:line="370" w:lineRule="exact"/>
              <w:ind w:left="0" w:leftChars="0" w:firstLine="0" w:firstLineChars="0"/>
              <w:jc w:val="center"/>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0936-6121</w:t>
            </w:r>
            <w:r>
              <w:rPr>
                <w:rFonts w:hint="default" w:ascii="Times New Roman" w:hAnsi="Times New Roman" w:eastAsia="仿宋" w:cs="Times New Roman"/>
                <w:color w:val="000000"/>
                <w:sz w:val="24"/>
                <w:szCs w:val="24"/>
                <w:lang w:val="en-US" w:eastAsia="zh-CN"/>
              </w:rPr>
              <w:t>2</w:t>
            </w:r>
            <w:r>
              <w:rPr>
                <w:rFonts w:hint="default" w:ascii="Times New Roman" w:hAnsi="Times New Roman" w:eastAsia="仿宋" w:cs="Times New Roman"/>
                <w:color w:val="000000"/>
                <w:sz w:val="24"/>
                <w:szCs w:val="24"/>
              </w:rPr>
              <w:t>21</w:t>
            </w:r>
          </w:p>
        </w:tc>
        <w:tc>
          <w:tcPr>
            <w:tcW w:w="2714" w:type="dxa"/>
            <w:tcBorders>
              <w:top w:val="single" w:color="000000" w:sz="4" w:space="0"/>
              <w:left w:val="single" w:color="000000" w:sz="4" w:space="0"/>
              <w:bottom w:val="single" w:color="000000" w:sz="4" w:space="0"/>
              <w:right w:val="single" w:color="000000" w:sz="4" w:space="0"/>
            </w:tcBorders>
            <w:noWrap w:val="0"/>
            <w:vAlign w:val="center"/>
          </w:tcPr>
          <w:p w14:paraId="60554F7C">
            <w:pPr>
              <w:adjustRightInd w:val="0"/>
              <w:snapToGrid w:val="0"/>
              <w:spacing w:line="370" w:lineRule="exact"/>
              <w:ind w:left="0" w:leftChars="0" w:firstLine="0" w:firstLineChars="0"/>
              <w:jc w:val="center"/>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0936-6121</w:t>
            </w:r>
            <w:r>
              <w:rPr>
                <w:rFonts w:hint="default" w:ascii="Times New Roman" w:hAnsi="Times New Roman" w:eastAsia="仿宋" w:cs="Times New Roman"/>
                <w:color w:val="000000"/>
                <w:sz w:val="24"/>
                <w:szCs w:val="24"/>
                <w:lang w:val="en-US" w:eastAsia="zh-CN"/>
              </w:rPr>
              <w:t>2</w:t>
            </w:r>
            <w:r>
              <w:rPr>
                <w:rFonts w:hint="default" w:ascii="Times New Roman" w:hAnsi="Times New Roman" w:eastAsia="仿宋" w:cs="Times New Roman"/>
                <w:color w:val="000000"/>
                <w:sz w:val="24"/>
                <w:szCs w:val="24"/>
              </w:rPr>
              <w:t>21</w:t>
            </w:r>
          </w:p>
        </w:tc>
      </w:tr>
      <w:tr w14:paraId="06A660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3906" w:type="dxa"/>
            <w:tcBorders>
              <w:top w:val="single" w:color="000000" w:sz="4" w:space="0"/>
              <w:left w:val="single" w:color="000000" w:sz="4" w:space="0"/>
              <w:bottom w:val="single" w:color="000000" w:sz="4" w:space="0"/>
              <w:right w:val="single" w:color="000000" w:sz="4" w:space="0"/>
            </w:tcBorders>
            <w:noWrap w:val="0"/>
            <w:vAlign w:val="center"/>
          </w:tcPr>
          <w:p w14:paraId="4F54DC09">
            <w:pPr>
              <w:adjustRightInd w:val="0"/>
              <w:snapToGrid w:val="0"/>
              <w:spacing w:line="370" w:lineRule="exact"/>
              <w:ind w:left="0" w:leftChars="0" w:firstLine="0" w:firstLineChars="0"/>
              <w:jc w:val="center"/>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县委宣传部（网信办）</w:t>
            </w:r>
          </w:p>
        </w:tc>
        <w:tc>
          <w:tcPr>
            <w:tcW w:w="2440" w:type="dxa"/>
            <w:tcBorders>
              <w:top w:val="single" w:color="000000" w:sz="4" w:space="0"/>
              <w:left w:val="single" w:color="000000" w:sz="4" w:space="0"/>
              <w:bottom w:val="single" w:color="000000" w:sz="4" w:space="0"/>
              <w:right w:val="single" w:color="000000" w:sz="4" w:space="0"/>
            </w:tcBorders>
            <w:noWrap w:val="0"/>
            <w:vAlign w:val="center"/>
          </w:tcPr>
          <w:p w14:paraId="0805FC44">
            <w:pPr>
              <w:adjustRightInd w:val="0"/>
              <w:snapToGrid w:val="0"/>
              <w:spacing w:line="370" w:lineRule="exact"/>
              <w:ind w:left="0" w:leftChars="0" w:firstLine="0" w:firstLineChars="0"/>
              <w:jc w:val="center"/>
              <w:rPr>
                <w:rFonts w:hint="default" w:ascii="Times New Roman" w:hAnsi="Times New Roman" w:eastAsia="仿宋" w:cs="Times New Roman"/>
                <w:color w:val="000000"/>
                <w:sz w:val="24"/>
                <w:szCs w:val="24"/>
                <w:highlight w:val="green"/>
              </w:rPr>
            </w:pPr>
            <w:r>
              <w:rPr>
                <w:rFonts w:hint="default" w:ascii="Times New Roman" w:hAnsi="Times New Roman" w:eastAsia="仿宋" w:cs="Times New Roman"/>
                <w:color w:val="000000"/>
                <w:sz w:val="24"/>
                <w:szCs w:val="24"/>
              </w:rPr>
              <w:t>0936-6121318</w:t>
            </w:r>
          </w:p>
        </w:tc>
        <w:tc>
          <w:tcPr>
            <w:tcW w:w="2714" w:type="dxa"/>
            <w:tcBorders>
              <w:top w:val="single" w:color="000000" w:sz="4" w:space="0"/>
              <w:left w:val="single" w:color="000000" w:sz="4" w:space="0"/>
              <w:bottom w:val="single" w:color="000000" w:sz="4" w:space="0"/>
              <w:right w:val="single" w:color="000000" w:sz="4" w:space="0"/>
            </w:tcBorders>
            <w:noWrap w:val="0"/>
            <w:vAlign w:val="center"/>
          </w:tcPr>
          <w:p w14:paraId="434D95DD">
            <w:pPr>
              <w:adjustRightInd w:val="0"/>
              <w:snapToGrid w:val="0"/>
              <w:spacing w:line="370" w:lineRule="exact"/>
              <w:ind w:left="0" w:leftChars="0" w:firstLine="0" w:firstLineChars="0"/>
              <w:jc w:val="center"/>
              <w:rPr>
                <w:rFonts w:hint="default" w:ascii="Times New Roman" w:hAnsi="Times New Roman" w:eastAsia="仿宋" w:cs="Times New Roman"/>
                <w:color w:val="000000"/>
                <w:sz w:val="24"/>
                <w:szCs w:val="24"/>
                <w:highlight w:val="none"/>
                <w:lang w:val="en-US" w:eastAsia="zh-CN"/>
              </w:rPr>
            </w:pPr>
            <w:r>
              <w:rPr>
                <w:rFonts w:hint="default" w:ascii="Times New Roman" w:hAnsi="Times New Roman" w:eastAsia="仿宋" w:cs="Times New Roman"/>
                <w:color w:val="000000"/>
                <w:sz w:val="24"/>
                <w:szCs w:val="24"/>
                <w:highlight w:val="none"/>
                <w:lang w:val="en-US" w:eastAsia="zh-CN"/>
              </w:rPr>
              <w:t>/</w:t>
            </w:r>
          </w:p>
        </w:tc>
      </w:tr>
      <w:tr w14:paraId="65B4C6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3906" w:type="dxa"/>
            <w:tcBorders>
              <w:top w:val="single" w:color="000000" w:sz="4" w:space="0"/>
              <w:left w:val="single" w:color="000000" w:sz="4" w:space="0"/>
              <w:bottom w:val="single" w:color="000000" w:sz="4" w:space="0"/>
              <w:right w:val="single" w:color="000000" w:sz="4" w:space="0"/>
            </w:tcBorders>
            <w:noWrap w:val="0"/>
            <w:vAlign w:val="center"/>
          </w:tcPr>
          <w:p w14:paraId="24CCCFE8">
            <w:pPr>
              <w:adjustRightInd w:val="0"/>
              <w:snapToGrid w:val="0"/>
              <w:spacing w:line="370" w:lineRule="exact"/>
              <w:ind w:left="0" w:leftChars="0" w:firstLine="0" w:firstLineChars="0"/>
              <w:jc w:val="center"/>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县生态环境分局</w:t>
            </w:r>
          </w:p>
        </w:tc>
        <w:tc>
          <w:tcPr>
            <w:tcW w:w="2440" w:type="dxa"/>
            <w:tcBorders>
              <w:top w:val="single" w:color="000000" w:sz="4" w:space="0"/>
              <w:left w:val="single" w:color="000000" w:sz="4" w:space="0"/>
              <w:bottom w:val="single" w:color="000000" w:sz="4" w:space="0"/>
              <w:right w:val="single" w:color="000000" w:sz="4" w:space="0"/>
            </w:tcBorders>
            <w:noWrap w:val="0"/>
            <w:vAlign w:val="center"/>
          </w:tcPr>
          <w:p w14:paraId="61115CD5">
            <w:pPr>
              <w:adjustRightInd w:val="0"/>
              <w:snapToGrid w:val="0"/>
              <w:spacing w:line="370" w:lineRule="exact"/>
              <w:ind w:left="0" w:leftChars="0" w:firstLine="0" w:firstLineChars="0"/>
              <w:jc w:val="center"/>
              <w:rPr>
                <w:rFonts w:hint="default" w:ascii="Times New Roman" w:hAnsi="Times New Roman" w:eastAsia="仿宋" w:cs="Times New Roman"/>
                <w:color w:val="000000"/>
                <w:sz w:val="24"/>
                <w:szCs w:val="24"/>
                <w:highlight w:val="green"/>
                <w:lang w:val="en-US" w:eastAsia="zh-CN"/>
              </w:rPr>
            </w:pPr>
            <w:r>
              <w:rPr>
                <w:rFonts w:hint="default" w:ascii="Times New Roman" w:hAnsi="Times New Roman" w:eastAsia="仿宋" w:cs="Times New Roman"/>
                <w:color w:val="000000"/>
                <w:sz w:val="24"/>
                <w:szCs w:val="24"/>
              </w:rPr>
              <w:t>0936-612</w:t>
            </w:r>
            <w:r>
              <w:rPr>
                <w:rFonts w:hint="eastAsia" w:ascii="Times New Roman" w:hAnsi="Times New Roman" w:eastAsia="仿宋" w:cs="Times New Roman"/>
                <w:color w:val="000000"/>
                <w:sz w:val="24"/>
                <w:szCs w:val="24"/>
                <w:lang w:val="en-US" w:eastAsia="zh-CN"/>
              </w:rPr>
              <w:t>5112</w:t>
            </w:r>
          </w:p>
        </w:tc>
        <w:tc>
          <w:tcPr>
            <w:tcW w:w="2714" w:type="dxa"/>
            <w:tcBorders>
              <w:top w:val="single" w:color="000000" w:sz="4" w:space="0"/>
              <w:left w:val="single" w:color="000000" w:sz="4" w:space="0"/>
              <w:bottom w:val="single" w:color="000000" w:sz="4" w:space="0"/>
              <w:right w:val="single" w:color="000000" w:sz="4" w:space="0"/>
            </w:tcBorders>
            <w:noWrap w:val="0"/>
            <w:vAlign w:val="center"/>
          </w:tcPr>
          <w:p w14:paraId="3B7F5F18">
            <w:pPr>
              <w:adjustRightInd w:val="0"/>
              <w:snapToGrid w:val="0"/>
              <w:spacing w:line="370" w:lineRule="exact"/>
              <w:ind w:left="0" w:leftChars="0" w:firstLine="0" w:firstLineChars="0"/>
              <w:jc w:val="center"/>
              <w:rPr>
                <w:rFonts w:hint="default" w:ascii="Times New Roman" w:hAnsi="Times New Roman" w:eastAsia="仿宋" w:cs="Times New Roman"/>
                <w:color w:val="000000"/>
                <w:sz w:val="24"/>
                <w:szCs w:val="24"/>
                <w:highlight w:val="none"/>
                <w:lang w:val="en-US" w:eastAsia="zh-CN"/>
              </w:rPr>
            </w:pPr>
            <w:r>
              <w:rPr>
                <w:rFonts w:hint="default" w:ascii="Times New Roman" w:hAnsi="Times New Roman" w:eastAsia="仿宋" w:cs="Times New Roman"/>
                <w:color w:val="000000"/>
                <w:sz w:val="24"/>
                <w:szCs w:val="24"/>
                <w:highlight w:val="none"/>
                <w:lang w:val="en-US" w:eastAsia="zh-CN"/>
              </w:rPr>
              <w:t>/</w:t>
            </w:r>
          </w:p>
        </w:tc>
      </w:tr>
      <w:tr w14:paraId="0A3E6A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3906" w:type="dxa"/>
            <w:tcBorders>
              <w:top w:val="single" w:color="000000" w:sz="4" w:space="0"/>
              <w:left w:val="single" w:color="000000" w:sz="4" w:space="0"/>
              <w:bottom w:val="single" w:color="000000" w:sz="4" w:space="0"/>
              <w:right w:val="single" w:color="000000" w:sz="4" w:space="0"/>
            </w:tcBorders>
            <w:noWrap w:val="0"/>
            <w:vAlign w:val="center"/>
          </w:tcPr>
          <w:p w14:paraId="174D634C">
            <w:pPr>
              <w:adjustRightInd w:val="0"/>
              <w:snapToGrid w:val="0"/>
              <w:spacing w:line="370" w:lineRule="exact"/>
              <w:ind w:left="0" w:leftChars="0" w:firstLine="0" w:firstLineChars="0"/>
              <w:jc w:val="center"/>
              <w:rPr>
                <w:rFonts w:hint="eastAsia" w:ascii="Times New Roman" w:hAnsi="Times New Roman" w:eastAsia="仿宋" w:cs="Times New Roman"/>
                <w:color w:val="000000"/>
                <w:sz w:val="32"/>
                <w:szCs w:val="32"/>
                <w:lang w:eastAsia="zh-CN"/>
              </w:rPr>
            </w:pPr>
            <w:r>
              <w:rPr>
                <w:rFonts w:hint="default" w:ascii="Times New Roman" w:hAnsi="Times New Roman" w:eastAsia="仿宋" w:cs="Times New Roman"/>
                <w:color w:val="000000"/>
                <w:sz w:val="32"/>
                <w:szCs w:val="32"/>
              </w:rPr>
              <w:t>县发改</w:t>
            </w:r>
            <w:r>
              <w:rPr>
                <w:rFonts w:hint="eastAsia" w:ascii="Times New Roman" w:hAnsi="Times New Roman" w:eastAsia="仿宋" w:cs="Times New Roman"/>
                <w:color w:val="000000"/>
                <w:sz w:val="32"/>
                <w:szCs w:val="32"/>
                <w:lang w:val="en-US" w:eastAsia="zh-CN"/>
              </w:rPr>
              <w:t>局</w:t>
            </w:r>
          </w:p>
        </w:tc>
        <w:tc>
          <w:tcPr>
            <w:tcW w:w="2440" w:type="dxa"/>
            <w:tcBorders>
              <w:top w:val="single" w:color="000000" w:sz="4" w:space="0"/>
              <w:left w:val="single" w:color="000000" w:sz="4" w:space="0"/>
              <w:bottom w:val="single" w:color="000000" w:sz="4" w:space="0"/>
              <w:right w:val="single" w:color="000000" w:sz="4" w:space="0"/>
            </w:tcBorders>
            <w:noWrap w:val="0"/>
            <w:vAlign w:val="center"/>
          </w:tcPr>
          <w:p w14:paraId="0D9911C9">
            <w:pPr>
              <w:adjustRightInd w:val="0"/>
              <w:snapToGrid w:val="0"/>
              <w:spacing w:line="370" w:lineRule="exact"/>
              <w:ind w:left="0" w:leftChars="0" w:firstLine="0" w:firstLineChars="0"/>
              <w:jc w:val="center"/>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0936-6121413</w:t>
            </w:r>
          </w:p>
        </w:tc>
        <w:tc>
          <w:tcPr>
            <w:tcW w:w="2714" w:type="dxa"/>
            <w:tcBorders>
              <w:top w:val="single" w:color="000000" w:sz="4" w:space="0"/>
              <w:left w:val="single" w:color="000000" w:sz="4" w:space="0"/>
              <w:bottom w:val="single" w:color="000000" w:sz="4" w:space="0"/>
              <w:right w:val="single" w:color="000000" w:sz="4" w:space="0"/>
            </w:tcBorders>
            <w:noWrap w:val="0"/>
            <w:vAlign w:val="center"/>
          </w:tcPr>
          <w:p w14:paraId="0BA94A3D">
            <w:pPr>
              <w:adjustRightInd w:val="0"/>
              <w:snapToGrid w:val="0"/>
              <w:spacing w:line="370" w:lineRule="exact"/>
              <w:ind w:left="0" w:leftChars="0" w:firstLine="0" w:firstLineChars="0"/>
              <w:jc w:val="center"/>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0936-6121413</w:t>
            </w:r>
          </w:p>
        </w:tc>
      </w:tr>
      <w:tr w14:paraId="1B8299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3906" w:type="dxa"/>
            <w:tcBorders>
              <w:top w:val="single" w:color="000000" w:sz="4" w:space="0"/>
              <w:left w:val="single" w:color="000000" w:sz="4" w:space="0"/>
              <w:bottom w:val="single" w:color="000000" w:sz="4" w:space="0"/>
              <w:right w:val="single" w:color="000000" w:sz="4" w:space="0"/>
            </w:tcBorders>
            <w:noWrap w:val="0"/>
            <w:vAlign w:val="center"/>
          </w:tcPr>
          <w:p w14:paraId="29961D9C">
            <w:pPr>
              <w:adjustRightInd w:val="0"/>
              <w:snapToGrid w:val="0"/>
              <w:spacing w:line="370" w:lineRule="exact"/>
              <w:ind w:left="0" w:leftChars="0" w:firstLine="0" w:firstLineChars="0"/>
              <w:jc w:val="center"/>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县应急局</w:t>
            </w:r>
          </w:p>
        </w:tc>
        <w:tc>
          <w:tcPr>
            <w:tcW w:w="2440" w:type="dxa"/>
            <w:tcBorders>
              <w:top w:val="single" w:color="000000" w:sz="4" w:space="0"/>
              <w:left w:val="single" w:color="000000" w:sz="4" w:space="0"/>
              <w:bottom w:val="single" w:color="000000" w:sz="4" w:space="0"/>
              <w:right w:val="single" w:color="000000" w:sz="4" w:space="0"/>
            </w:tcBorders>
            <w:noWrap w:val="0"/>
            <w:vAlign w:val="center"/>
          </w:tcPr>
          <w:p w14:paraId="45DACD65">
            <w:pPr>
              <w:adjustRightInd w:val="0"/>
              <w:snapToGrid w:val="0"/>
              <w:spacing w:line="370" w:lineRule="exact"/>
              <w:ind w:left="0" w:leftChars="0" w:firstLine="0" w:firstLineChars="0"/>
              <w:jc w:val="center"/>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0936-6121216</w:t>
            </w:r>
          </w:p>
        </w:tc>
        <w:tc>
          <w:tcPr>
            <w:tcW w:w="2714" w:type="dxa"/>
            <w:tcBorders>
              <w:top w:val="single" w:color="000000" w:sz="4" w:space="0"/>
              <w:left w:val="single" w:color="000000" w:sz="4" w:space="0"/>
              <w:bottom w:val="single" w:color="000000" w:sz="4" w:space="0"/>
              <w:right w:val="single" w:color="000000" w:sz="4" w:space="0"/>
            </w:tcBorders>
            <w:noWrap w:val="0"/>
            <w:vAlign w:val="center"/>
          </w:tcPr>
          <w:p w14:paraId="3BBBC16B">
            <w:pPr>
              <w:adjustRightInd w:val="0"/>
              <w:snapToGrid w:val="0"/>
              <w:spacing w:line="370" w:lineRule="exact"/>
              <w:ind w:left="0" w:leftChars="0" w:firstLine="0" w:firstLineChars="0"/>
              <w:jc w:val="center"/>
              <w:rPr>
                <w:rFonts w:hint="default" w:ascii="Times New Roman" w:hAnsi="Times New Roman" w:eastAsia="仿宋" w:cs="Times New Roman"/>
                <w:color w:val="000000"/>
                <w:sz w:val="24"/>
                <w:szCs w:val="24"/>
                <w:lang w:val="en-US" w:eastAsia="zh-CN"/>
              </w:rPr>
            </w:pPr>
            <w:r>
              <w:rPr>
                <w:rFonts w:hint="default" w:ascii="Times New Roman" w:hAnsi="Times New Roman" w:eastAsia="仿宋" w:cs="Times New Roman"/>
                <w:color w:val="000000"/>
                <w:sz w:val="24"/>
                <w:szCs w:val="24"/>
                <w:lang w:val="en-US" w:eastAsia="zh-CN"/>
              </w:rPr>
              <w:t>/</w:t>
            </w:r>
          </w:p>
        </w:tc>
      </w:tr>
      <w:tr w14:paraId="65562D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3906" w:type="dxa"/>
            <w:tcBorders>
              <w:top w:val="single" w:color="000000" w:sz="4" w:space="0"/>
              <w:left w:val="single" w:color="000000" w:sz="4" w:space="0"/>
              <w:bottom w:val="single" w:color="000000" w:sz="4" w:space="0"/>
              <w:right w:val="single" w:color="000000" w:sz="4" w:space="0"/>
            </w:tcBorders>
            <w:noWrap w:val="0"/>
            <w:vAlign w:val="center"/>
          </w:tcPr>
          <w:p w14:paraId="0EFA83F8">
            <w:pPr>
              <w:adjustRightInd w:val="0"/>
              <w:snapToGrid w:val="0"/>
              <w:spacing w:line="370" w:lineRule="exact"/>
              <w:ind w:left="0" w:leftChars="0" w:firstLine="0" w:firstLineChars="0"/>
              <w:jc w:val="center"/>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县公安局</w:t>
            </w:r>
          </w:p>
        </w:tc>
        <w:tc>
          <w:tcPr>
            <w:tcW w:w="2440" w:type="dxa"/>
            <w:tcBorders>
              <w:top w:val="single" w:color="000000" w:sz="4" w:space="0"/>
              <w:left w:val="single" w:color="000000" w:sz="4" w:space="0"/>
              <w:bottom w:val="single" w:color="000000" w:sz="4" w:space="0"/>
              <w:right w:val="single" w:color="000000" w:sz="4" w:space="0"/>
            </w:tcBorders>
            <w:noWrap w:val="0"/>
            <w:vAlign w:val="center"/>
          </w:tcPr>
          <w:p w14:paraId="7A7EF556">
            <w:pPr>
              <w:adjustRightInd w:val="0"/>
              <w:snapToGrid w:val="0"/>
              <w:spacing w:line="370" w:lineRule="exact"/>
              <w:ind w:left="0" w:leftChars="0" w:firstLine="0" w:firstLineChars="0"/>
              <w:jc w:val="center"/>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0936-6121421</w:t>
            </w:r>
          </w:p>
        </w:tc>
        <w:tc>
          <w:tcPr>
            <w:tcW w:w="2714" w:type="dxa"/>
            <w:tcBorders>
              <w:top w:val="single" w:color="000000" w:sz="4" w:space="0"/>
              <w:left w:val="single" w:color="000000" w:sz="4" w:space="0"/>
              <w:bottom w:val="single" w:color="000000" w:sz="4" w:space="0"/>
              <w:right w:val="single" w:color="000000" w:sz="4" w:space="0"/>
            </w:tcBorders>
            <w:noWrap w:val="0"/>
            <w:vAlign w:val="center"/>
          </w:tcPr>
          <w:p w14:paraId="2867DA03">
            <w:pPr>
              <w:adjustRightInd w:val="0"/>
              <w:snapToGrid w:val="0"/>
              <w:spacing w:line="370" w:lineRule="exact"/>
              <w:ind w:left="0" w:leftChars="0" w:firstLine="0" w:firstLineChars="0"/>
              <w:jc w:val="center"/>
              <w:rPr>
                <w:rFonts w:hint="default" w:ascii="Times New Roman" w:hAnsi="Times New Roman" w:eastAsia="仿宋" w:cs="Times New Roman"/>
                <w:color w:val="000000"/>
                <w:sz w:val="24"/>
                <w:szCs w:val="24"/>
                <w:lang w:val="en-US" w:eastAsia="zh-CN"/>
              </w:rPr>
            </w:pPr>
            <w:r>
              <w:rPr>
                <w:rFonts w:hint="default" w:ascii="Times New Roman" w:hAnsi="Times New Roman" w:eastAsia="仿宋" w:cs="Times New Roman"/>
                <w:color w:val="000000"/>
                <w:sz w:val="24"/>
                <w:szCs w:val="24"/>
                <w:lang w:val="en-US" w:eastAsia="zh-CN"/>
              </w:rPr>
              <w:t>/</w:t>
            </w:r>
          </w:p>
        </w:tc>
      </w:tr>
      <w:tr w14:paraId="4F2DBC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3906" w:type="dxa"/>
            <w:tcBorders>
              <w:top w:val="single" w:color="000000" w:sz="4" w:space="0"/>
              <w:left w:val="single" w:color="000000" w:sz="4" w:space="0"/>
              <w:bottom w:val="single" w:color="000000" w:sz="4" w:space="0"/>
              <w:right w:val="single" w:color="000000" w:sz="4" w:space="0"/>
            </w:tcBorders>
            <w:noWrap w:val="0"/>
            <w:vAlign w:val="center"/>
          </w:tcPr>
          <w:p w14:paraId="3C8D1BCF">
            <w:pPr>
              <w:adjustRightInd w:val="0"/>
              <w:snapToGrid w:val="0"/>
              <w:spacing w:line="370" w:lineRule="exact"/>
              <w:ind w:left="0" w:leftChars="0" w:firstLine="0" w:firstLineChars="0"/>
              <w:jc w:val="center"/>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县财政局</w:t>
            </w:r>
          </w:p>
        </w:tc>
        <w:tc>
          <w:tcPr>
            <w:tcW w:w="2440" w:type="dxa"/>
            <w:tcBorders>
              <w:top w:val="single" w:color="000000" w:sz="4" w:space="0"/>
              <w:left w:val="single" w:color="000000" w:sz="4" w:space="0"/>
              <w:bottom w:val="single" w:color="000000" w:sz="4" w:space="0"/>
              <w:right w:val="single" w:color="000000" w:sz="4" w:space="0"/>
            </w:tcBorders>
            <w:noWrap w:val="0"/>
            <w:vAlign w:val="center"/>
          </w:tcPr>
          <w:p w14:paraId="6039B030">
            <w:pPr>
              <w:adjustRightInd w:val="0"/>
              <w:snapToGrid w:val="0"/>
              <w:spacing w:line="370" w:lineRule="exact"/>
              <w:ind w:left="0" w:leftChars="0" w:firstLine="0" w:firstLineChars="0"/>
              <w:jc w:val="center"/>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0936-6121077</w:t>
            </w:r>
          </w:p>
        </w:tc>
        <w:tc>
          <w:tcPr>
            <w:tcW w:w="2714" w:type="dxa"/>
            <w:tcBorders>
              <w:top w:val="single" w:color="000000" w:sz="4" w:space="0"/>
              <w:left w:val="single" w:color="000000" w:sz="4" w:space="0"/>
              <w:bottom w:val="single" w:color="000000" w:sz="4" w:space="0"/>
              <w:right w:val="single" w:color="000000" w:sz="4" w:space="0"/>
            </w:tcBorders>
            <w:noWrap w:val="0"/>
            <w:vAlign w:val="center"/>
          </w:tcPr>
          <w:p w14:paraId="78B5E409">
            <w:pPr>
              <w:adjustRightInd w:val="0"/>
              <w:snapToGrid w:val="0"/>
              <w:spacing w:line="370" w:lineRule="exact"/>
              <w:ind w:left="0" w:leftChars="0" w:firstLine="0" w:firstLineChars="0"/>
              <w:jc w:val="center"/>
              <w:rPr>
                <w:rFonts w:hint="default" w:ascii="Times New Roman" w:hAnsi="Times New Roman" w:eastAsia="仿宋" w:cs="Times New Roman"/>
                <w:color w:val="000000"/>
                <w:sz w:val="24"/>
                <w:szCs w:val="24"/>
                <w:lang w:val="en-US" w:eastAsia="zh-CN"/>
              </w:rPr>
            </w:pPr>
            <w:r>
              <w:rPr>
                <w:rFonts w:hint="default" w:ascii="Times New Roman" w:hAnsi="Times New Roman" w:eastAsia="仿宋" w:cs="Times New Roman"/>
                <w:color w:val="000000"/>
                <w:sz w:val="24"/>
                <w:szCs w:val="24"/>
                <w:lang w:val="en-US" w:eastAsia="zh-CN"/>
              </w:rPr>
              <w:t>/</w:t>
            </w:r>
          </w:p>
        </w:tc>
      </w:tr>
      <w:tr w14:paraId="2FCE51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3906" w:type="dxa"/>
            <w:tcBorders>
              <w:top w:val="single" w:color="000000" w:sz="4" w:space="0"/>
              <w:left w:val="single" w:color="000000" w:sz="4" w:space="0"/>
              <w:bottom w:val="single" w:color="000000" w:sz="4" w:space="0"/>
              <w:right w:val="single" w:color="000000" w:sz="4" w:space="0"/>
            </w:tcBorders>
            <w:noWrap w:val="0"/>
            <w:vAlign w:val="center"/>
          </w:tcPr>
          <w:p w14:paraId="51DCAB19">
            <w:pPr>
              <w:adjustRightInd w:val="0"/>
              <w:snapToGrid w:val="0"/>
              <w:spacing w:line="370" w:lineRule="exact"/>
              <w:ind w:left="0" w:leftChars="0" w:firstLine="0" w:firstLineChars="0"/>
              <w:jc w:val="center"/>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县自然资源局</w:t>
            </w:r>
          </w:p>
        </w:tc>
        <w:tc>
          <w:tcPr>
            <w:tcW w:w="2440" w:type="dxa"/>
            <w:tcBorders>
              <w:top w:val="single" w:color="000000" w:sz="4" w:space="0"/>
              <w:left w:val="single" w:color="000000" w:sz="4" w:space="0"/>
              <w:bottom w:val="single" w:color="000000" w:sz="4" w:space="0"/>
              <w:right w:val="single" w:color="000000" w:sz="4" w:space="0"/>
            </w:tcBorders>
            <w:noWrap w:val="0"/>
            <w:vAlign w:val="center"/>
          </w:tcPr>
          <w:p w14:paraId="699F816B">
            <w:pPr>
              <w:adjustRightInd w:val="0"/>
              <w:snapToGrid w:val="0"/>
              <w:spacing w:line="370" w:lineRule="exact"/>
              <w:ind w:left="0" w:leftChars="0" w:firstLine="0" w:firstLineChars="0"/>
              <w:jc w:val="center"/>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0936-6121024</w:t>
            </w:r>
          </w:p>
        </w:tc>
        <w:tc>
          <w:tcPr>
            <w:tcW w:w="2714" w:type="dxa"/>
            <w:tcBorders>
              <w:top w:val="single" w:color="000000" w:sz="4" w:space="0"/>
              <w:left w:val="single" w:color="000000" w:sz="4" w:space="0"/>
              <w:bottom w:val="single" w:color="000000" w:sz="4" w:space="0"/>
              <w:right w:val="single" w:color="000000" w:sz="4" w:space="0"/>
            </w:tcBorders>
            <w:noWrap w:val="0"/>
            <w:vAlign w:val="center"/>
          </w:tcPr>
          <w:p w14:paraId="3C61C6A1">
            <w:pPr>
              <w:adjustRightInd w:val="0"/>
              <w:snapToGrid w:val="0"/>
              <w:spacing w:line="370" w:lineRule="exact"/>
              <w:ind w:left="0" w:leftChars="0" w:firstLine="0" w:firstLineChars="0"/>
              <w:jc w:val="center"/>
              <w:rPr>
                <w:rFonts w:hint="default" w:ascii="Times New Roman" w:hAnsi="Times New Roman" w:eastAsia="仿宋" w:cs="Times New Roman"/>
                <w:color w:val="000000"/>
                <w:sz w:val="24"/>
                <w:szCs w:val="24"/>
                <w:lang w:val="en-US" w:eastAsia="zh-CN"/>
              </w:rPr>
            </w:pPr>
            <w:r>
              <w:rPr>
                <w:rFonts w:hint="default" w:ascii="Times New Roman" w:hAnsi="Times New Roman" w:eastAsia="仿宋" w:cs="Times New Roman"/>
                <w:color w:val="000000"/>
                <w:sz w:val="24"/>
                <w:szCs w:val="24"/>
                <w:lang w:val="en-US" w:eastAsia="zh-CN"/>
              </w:rPr>
              <w:t>/</w:t>
            </w:r>
          </w:p>
        </w:tc>
      </w:tr>
      <w:tr w14:paraId="6D9EC9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3906" w:type="dxa"/>
            <w:tcBorders>
              <w:top w:val="single" w:color="000000" w:sz="4" w:space="0"/>
              <w:left w:val="single" w:color="000000" w:sz="4" w:space="0"/>
              <w:bottom w:val="single" w:color="000000" w:sz="4" w:space="0"/>
              <w:right w:val="single" w:color="000000" w:sz="4" w:space="0"/>
            </w:tcBorders>
            <w:noWrap w:val="0"/>
            <w:vAlign w:val="center"/>
          </w:tcPr>
          <w:p w14:paraId="6D213C94">
            <w:pPr>
              <w:adjustRightInd w:val="0"/>
              <w:snapToGrid w:val="0"/>
              <w:spacing w:line="370" w:lineRule="exact"/>
              <w:ind w:left="0" w:leftChars="0" w:firstLine="0" w:firstLineChars="0"/>
              <w:jc w:val="center"/>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县住建局</w:t>
            </w:r>
          </w:p>
        </w:tc>
        <w:tc>
          <w:tcPr>
            <w:tcW w:w="2440" w:type="dxa"/>
            <w:tcBorders>
              <w:top w:val="single" w:color="000000" w:sz="4" w:space="0"/>
              <w:left w:val="single" w:color="000000" w:sz="4" w:space="0"/>
              <w:bottom w:val="single" w:color="000000" w:sz="4" w:space="0"/>
              <w:right w:val="single" w:color="000000" w:sz="4" w:space="0"/>
            </w:tcBorders>
            <w:noWrap w:val="0"/>
            <w:vAlign w:val="center"/>
          </w:tcPr>
          <w:p w14:paraId="50920458">
            <w:pPr>
              <w:adjustRightInd w:val="0"/>
              <w:snapToGrid w:val="0"/>
              <w:spacing w:line="370" w:lineRule="exact"/>
              <w:ind w:left="0" w:leftChars="0" w:firstLine="0" w:firstLineChars="0"/>
              <w:jc w:val="center"/>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0936-6121541</w:t>
            </w:r>
          </w:p>
        </w:tc>
        <w:tc>
          <w:tcPr>
            <w:tcW w:w="2714" w:type="dxa"/>
            <w:tcBorders>
              <w:top w:val="single" w:color="000000" w:sz="4" w:space="0"/>
              <w:left w:val="single" w:color="000000" w:sz="4" w:space="0"/>
              <w:bottom w:val="single" w:color="000000" w:sz="4" w:space="0"/>
              <w:right w:val="single" w:color="000000" w:sz="4" w:space="0"/>
            </w:tcBorders>
            <w:noWrap w:val="0"/>
            <w:vAlign w:val="center"/>
          </w:tcPr>
          <w:p w14:paraId="4DBF5680">
            <w:pPr>
              <w:adjustRightInd w:val="0"/>
              <w:snapToGrid w:val="0"/>
              <w:spacing w:line="370" w:lineRule="exact"/>
              <w:ind w:left="0" w:leftChars="0" w:firstLine="0" w:firstLineChars="0"/>
              <w:jc w:val="center"/>
              <w:rPr>
                <w:rFonts w:hint="default" w:ascii="Times New Roman" w:hAnsi="Times New Roman" w:eastAsia="仿宋" w:cs="Times New Roman"/>
                <w:color w:val="000000"/>
                <w:sz w:val="24"/>
                <w:szCs w:val="24"/>
                <w:lang w:val="en-US" w:eastAsia="zh-CN"/>
              </w:rPr>
            </w:pPr>
            <w:r>
              <w:rPr>
                <w:rFonts w:hint="default" w:ascii="Times New Roman" w:hAnsi="Times New Roman" w:eastAsia="仿宋" w:cs="Times New Roman"/>
                <w:color w:val="000000"/>
                <w:sz w:val="24"/>
                <w:szCs w:val="24"/>
                <w:lang w:val="en-US" w:eastAsia="zh-CN"/>
              </w:rPr>
              <w:t>/</w:t>
            </w:r>
          </w:p>
        </w:tc>
      </w:tr>
      <w:tr w14:paraId="109838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3906" w:type="dxa"/>
            <w:tcBorders>
              <w:top w:val="single" w:color="000000" w:sz="4" w:space="0"/>
              <w:left w:val="single" w:color="000000" w:sz="4" w:space="0"/>
              <w:bottom w:val="single" w:color="000000" w:sz="4" w:space="0"/>
              <w:right w:val="single" w:color="000000" w:sz="4" w:space="0"/>
            </w:tcBorders>
            <w:noWrap w:val="0"/>
            <w:vAlign w:val="center"/>
          </w:tcPr>
          <w:p w14:paraId="0804F2BB">
            <w:pPr>
              <w:adjustRightInd w:val="0"/>
              <w:snapToGrid w:val="0"/>
              <w:spacing w:line="370" w:lineRule="exact"/>
              <w:ind w:left="0" w:leftChars="0" w:firstLine="0" w:firstLineChars="0"/>
              <w:jc w:val="center"/>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县水务局</w:t>
            </w:r>
          </w:p>
        </w:tc>
        <w:tc>
          <w:tcPr>
            <w:tcW w:w="2440" w:type="dxa"/>
            <w:tcBorders>
              <w:top w:val="single" w:color="000000" w:sz="4" w:space="0"/>
              <w:left w:val="single" w:color="000000" w:sz="4" w:space="0"/>
              <w:bottom w:val="single" w:color="000000" w:sz="4" w:space="0"/>
              <w:right w:val="single" w:color="000000" w:sz="4" w:space="0"/>
            </w:tcBorders>
            <w:noWrap w:val="0"/>
            <w:vAlign w:val="center"/>
          </w:tcPr>
          <w:p w14:paraId="37553D41">
            <w:pPr>
              <w:adjustRightInd w:val="0"/>
              <w:snapToGrid w:val="0"/>
              <w:spacing w:line="370" w:lineRule="exact"/>
              <w:ind w:left="0" w:leftChars="0" w:firstLine="0" w:firstLineChars="0"/>
              <w:jc w:val="center"/>
              <w:rPr>
                <w:rFonts w:hint="default" w:ascii="Times New Roman" w:hAnsi="Times New Roman" w:eastAsia="仿宋" w:cs="Times New Roman"/>
                <w:color w:val="000000"/>
                <w:sz w:val="24"/>
                <w:szCs w:val="24"/>
                <w:lang w:val="en-US" w:eastAsia="zh-CN"/>
              </w:rPr>
            </w:pPr>
            <w:r>
              <w:rPr>
                <w:rFonts w:hint="default" w:ascii="Times New Roman" w:hAnsi="Times New Roman" w:eastAsia="仿宋" w:cs="Times New Roman"/>
                <w:color w:val="000000"/>
                <w:sz w:val="24"/>
                <w:szCs w:val="24"/>
              </w:rPr>
              <w:t>0936-61214</w:t>
            </w:r>
            <w:r>
              <w:rPr>
                <w:rFonts w:hint="eastAsia" w:eastAsia="仿宋" w:cs="Times New Roman"/>
                <w:color w:val="000000"/>
                <w:sz w:val="24"/>
                <w:szCs w:val="24"/>
                <w:lang w:val="en-US" w:eastAsia="zh-CN"/>
              </w:rPr>
              <w:t>16</w:t>
            </w:r>
          </w:p>
        </w:tc>
        <w:tc>
          <w:tcPr>
            <w:tcW w:w="2714" w:type="dxa"/>
            <w:tcBorders>
              <w:top w:val="single" w:color="000000" w:sz="4" w:space="0"/>
              <w:left w:val="single" w:color="000000" w:sz="4" w:space="0"/>
              <w:bottom w:val="single" w:color="000000" w:sz="4" w:space="0"/>
              <w:right w:val="single" w:color="000000" w:sz="4" w:space="0"/>
            </w:tcBorders>
            <w:noWrap w:val="0"/>
            <w:vAlign w:val="center"/>
          </w:tcPr>
          <w:p w14:paraId="18461DEA">
            <w:pPr>
              <w:adjustRightInd w:val="0"/>
              <w:snapToGrid w:val="0"/>
              <w:spacing w:line="370" w:lineRule="exact"/>
              <w:ind w:left="0" w:leftChars="0" w:firstLine="0" w:firstLineChars="0"/>
              <w:jc w:val="center"/>
              <w:rPr>
                <w:rFonts w:hint="eastAsia" w:ascii="Times New Roman" w:hAnsi="Times New Roman" w:eastAsia="仿宋" w:cs="Times New Roman"/>
                <w:color w:val="000000"/>
                <w:sz w:val="24"/>
                <w:szCs w:val="24"/>
                <w:lang w:eastAsia="zh-CN"/>
              </w:rPr>
            </w:pPr>
            <w:r>
              <w:rPr>
                <w:rFonts w:hint="eastAsia" w:eastAsia="仿宋" w:cs="Times New Roman"/>
                <w:color w:val="000000"/>
                <w:sz w:val="24"/>
                <w:szCs w:val="24"/>
                <w:lang w:val="en-US" w:eastAsia="zh-CN"/>
              </w:rPr>
              <w:t>/</w:t>
            </w:r>
          </w:p>
        </w:tc>
      </w:tr>
      <w:tr w14:paraId="78C75C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3906" w:type="dxa"/>
            <w:tcBorders>
              <w:top w:val="single" w:color="000000" w:sz="4" w:space="0"/>
              <w:left w:val="single" w:color="000000" w:sz="4" w:space="0"/>
              <w:bottom w:val="single" w:color="000000" w:sz="4" w:space="0"/>
              <w:right w:val="single" w:color="000000" w:sz="4" w:space="0"/>
            </w:tcBorders>
            <w:noWrap w:val="0"/>
            <w:vAlign w:val="center"/>
          </w:tcPr>
          <w:p w14:paraId="0186010A">
            <w:pPr>
              <w:adjustRightInd w:val="0"/>
              <w:snapToGrid w:val="0"/>
              <w:spacing w:line="370" w:lineRule="exact"/>
              <w:ind w:left="0" w:leftChars="0" w:firstLine="0" w:firstLineChars="0"/>
              <w:jc w:val="center"/>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县农业农村局</w:t>
            </w:r>
          </w:p>
        </w:tc>
        <w:tc>
          <w:tcPr>
            <w:tcW w:w="2440" w:type="dxa"/>
            <w:tcBorders>
              <w:top w:val="single" w:color="000000" w:sz="4" w:space="0"/>
              <w:left w:val="single" w:color="000000" w:sz="4" w:space="0"/>
              <w:bottom w:val="single" w:color="000000" w:sz="4" w:space="0"/>
              <w:right w:val="single" w:color="000000" w:sz="4" w:space="0"/>
            </w:tcBorders>
            <w:noWrap w:val="0"/>
            <w:vAlign w:val="center"/>
          </w:tcPr>
          <w:p w14:paraId="21B8A104">
            <w:pPr>
              <w:adjustRightInd w:val="0"/>
              <w:snapToGrid w:val="0"/>
              <w:spacing w:line="370" w:lineRule="exact"/>
              <w:ind w:left="0" w:leftChars="0" w:firstLine="0" w:firstLineChars="0"/>
              <w:jc w:val="center"/>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0936-6121420</w:t>
            </w:r>
          </w:p>
        </w:tc>
        <w:tc>
          <w:tcPr>
            <w:tcW w:w="2714" w:type="dxa"/>
            <w:tcBorders>
              <w:top w:val="single" w:color="000000" w:sz="4" w:space="0"/>
              <w:left w:val="single" w:color="000000" w:sz="4" w:space="0"/>
              <w:bottom w:val="single" w:color="000000" w:sz="4" w:space="0"/>
              <w:right w:val="single" w:color="000000" w:sz="4" w:space="0"/>
            </w:tcBorders>
            <w:noWrap w:val="0"/>
            <w:vAlign w:val="center"/>
          </w:tcPr>
          <w:p w14:paraId="3A53963A">
            <w:pPr>
              <w:adjustRightInd w:val="0"/>
              <w:snapToGrid w:val="0"/>
              <w:spacing w:line="370" w:lineRule="exact"/>
              <w:ind w:left="0" w:leftChars="0" w:firstLine="0" w:firstLineChars="0"/>
              <w:jc w:val="center"/>
              <w:rPr>
                <w:rFonts w:hint="default" w:ascii="Times New Roman" w:hAnsi="Times New Roman" w:eastAsia="仿宋" w:cs="Times New Roman"/>
                <w:color w:val="000000"/>
                <w:sz w:val="24"/>
                <w:szCs w:val="24"/>
                <w:lang w:val="en-US" w:eastAsia="zh-CN"/>
              </w:rPr>
            </w:pPr>
            <w:r>
              <w:rPr>
                <w:rFonts w:hint="default" w:ascii="Times New Roman" w:hAnsi="Times New Roman" w:eastAsia="仿宋" w:cs="Times New Roman"/>
                <w:color w:val="000000"/>
                <w:sz w:val="24"/>
                <w:szCs w:val="24"/>
                <w:lang w:val="en-US" w:eastAsia="zh-CN"/>
              </w:rPr>
              <w:t>/</w:t>
            </w:r>
          </w:p>
        </w:tc>
      </w:tr>
      <w:tr w14:paraId="6BD6C6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3906" w:type="dxa"/>
            <w:tcBorders>
              <w:top w:val="single" w:color="000000" w:sz="4" w:space="0"/>
              <w:left w:val="single" w:color="000000" w:sz="4" w:space="0"/>
              <w:bottom w:val="single" w:color="000000" w:sz="4" w:space="0"/>
              <w:right w:val="single" w:color="000000" w:sz="4" w:space="0"/>
            </w:tcBorders>
            <w:noWrap w:val="0"/>
            <w:vAlign w:val="center"/>
          </w:tcPr>
          <w:p w14:paraId="79466A18">
            <w:pPr>
              <w:adjustRightInd w:val="0"/>
              <w:snapToGrid w:val="0"/>
              <w:spacing w:line="370" w:lineRule="exact"/>
              <w:ind w:left="0" w:leftChars="0" w:firstLine="0" w:firstLineChars="0"/>
              <w:jc w:val="center"/>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县林草局</w:t>
            </w:r>
          </w:p>
        </w:tc>
        <w:tc>
          <w:tcPr>
            <w:tcW w:w="2440" w:type="dxa"/>
            <w:tcBorders>
              <w:top w:val="single" w:color="000000" w:sz="4" w:space="0"/>
              <w:left w:val="single" w:color="000000" w:sz="4" w:space="0"/>
              <w:bottom w:val="single" w:color="000000" w:sz="4" w:space="0"/>
              <w:right w:val="single" w:color="000000" w:sz="4" w:space="0"/>
            </w:tcBorders>
            <w:noWrap w:val="0"/>
            <w:vAlign w:val="center"/>
          </w:tcPr>
          <w:p w14:paraId="53B0A17B">
            <w:pPr>
              <w:adjustRightInd w:val="0"/>
              <w:snapToGrid w:val="0"/>
              <w:spacing w:line="370" w:lineRule="exact"/>
              <w:ind w:left="0" w:leftChars="0" w:firstLine="0" w:firstLineChars="0"/>
              <w:jc w:val="center"/>
              <w:rPr>
                <w:rFonts w:hint="default" w:ascii="Times New Roman" w:hAnsi="Times New Roman" w:eastAsia="仿宋" w:cs="Times New Roman"/>
                <w:color w:val="000000"/>
                <w:sz w:val="24"/>
                <w:szCs w:val="24"/>
                <w:lang w:val="en-US" w:eastAsia="zh-CN"/>
              </w:rPr>
            </w:pPr>
            <w:r>
              <w:rPr>
                <w:rFonts w:hint="default" w:ascii="Times New Roman" w:hAnsi="Times New Roman" w:eastAsia="仿宋" w:cs="Times New Roman"/>
                <w:color w:val="000000"/>
                <w:sz w:val="24"/>
                <w:szCs w:val="24"/>
              </w:rPr>
              <w:t>0936-6121</w:t>
            </w:r>
            <w:r>
              <w:rPr>
                <w:rFonts w:hint="eastAsia" w:eastAsia="仿宋" w:cs="Times New Roman"/>
                <w:color w:val="000000"/>
                <w:sz w:val="24"/>
                <w:szCs w:val="24"/>
                <w:lang w:val="en-US" w:eastAsia="zh-CN"/>
              </w:rPr>
              <w:t>494</w:t>
            </w:r>
          </w:p>
        </w:tc>
        <w:tc>
          <w:tcPr>
            <w:tcW w:w="2714" w:type="dxa"/>
            <w:tcBorders>
              <w:top w:val="single" w:color="000000" w:sz="4" w:space="0"/>
              <w:left w:val="single" w:color="000000" w:sz="4" w:space="0"/>
              <w:bottom w:val="single" w:color="000000" w:sz="4" w:space="0"/>
              <w:right w:val="single" w:color="000000" w:sz="4" w:space="0"/>
            </w:tcBorders>
            <w:noWrap w:val="0"/>
            <w:vAlign w:val="center"/>
          </w:tcPr>
          <w:p w14:paraId="3D982915">
            <w:pPr>
              <w:adjustRightInd w:val="0"/>
              <w:snapToGrid w:val="0"/>
              <w:spacing w:line="370" w:lineRule="exact"/>
              <w:ind w:left="0" w:leftChars="0" w:firstLine="0" w:firstLineChars="0"/>
              <w:jc w:val="center"/>
              <w:rPr>
                <w:rFonts w:hint="default" w:ascii="Times New Roman" w:hAnsi="Times New Roman" w:eastAsia="仿宋" w:cs="Times New Roman"/>
                <w:color w:val="000000"/>
                <w:sz w:val="24"/>
                <w:szCs w:val="24"/>
                <w:lang w:val="en-US" w:eastAsia="zh-CN"/>
              </w:rPr>
            </w:pPr>
            <w:r>
              <w:rPr>
                <w:rFonts w:hint="default" w:ascii="Times New Roman" w:hAnsi="Times New Roman" w:eastAsia="仿宋" w:cs="Times New Roman"/>
                <w:color w:val="000000"/>
                <w:sz w:val="24"/>
                <w:szCs w:val="24"/>
                <w:lang w:val="en-US" w:eastAsia="zh-CN"/>
              </w:rPr>
              <w:t>/</w:t>
            </w:r>
          </w:p>
        </w:tc>
      </w:tr>
      <w:tr w14:paraId="4048BB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3906" w:type="dxa"/>
            <w:tcBorders>
              <w:top w:val="single" w:color="000000" w:sz="4" w:space="0"/>
              <w:left w:val="single" w:color="000000" w:sz="4" w:space="0"/>
              <w:bottom w:val="single" w:color="000000" w:sz="4" w:space="0"/>
              <w:right w:val="single" w:color="000000" w:sz="4" w:space="0"/>
            </w:tcBorders>
            <w:noWrap w:val="0"/>
            <w:vAlign w:val="center"/>
          </w:tcPr>
          <w:p w14:paraId="6ED1E645">
            <w:pPr>
              <w:adjustRightInd w:val="0"/>
              <w:snapToGrid w:val="0"/>
              <w:spacing w:line="370" w:lineRule="exact"/>
              <w:ind w:left="0" w:leftChars="0" w:firstLine="0" w:firstLineChars="0"/>
              <w:jc w:val="center"/>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县卫健局</w:t>
            </w:r>
          </w:p>
        </w:tc>
        <w:tc>
          <w:tcPr>
            <w:tcW w:w="2440" w:type="dxa"/>
            <w:tcBorders>
              <w:top w:val="single" w:color="000000" w:sz="4" w:space="0"/>
              <w:left w:val="single" w:color="000000" w:sz="4" w:space="0"/>
              <w:bottom w:val="single" w:color="000000" w:sz="4" w:space="0"/>
              <w:right w:val="single" w:color="000000" w:sz="4" w:space="0"/>
            </w:tcBorders>
            <w:noWrap w:val="0"/>
            <w:vAlign w:val="center"/>
          </w:tcPr>
          <w:p w14:paraId="4F74FB40">
            <w:pPr>
              <w:adjustRightInd w:val="0"/>
              <w:snapToGrid w:val="0"/>
              <w:spacing w:line="370" w:lineRule="exact"/>
              <w:ind w:left="0" w:leftChars="0" w:firstLine="0" w:firstLineChars="0"/>
              <w:jc w:val="center"/>
              <w:rPr>
                <w:rFonts w:hint="default" w:ascii="Times New Roman" w:hAnsi="Times New Roman" w:eastAsia="仿宋" w:cs="Times New Roman"/>
                <w:color w:val="000000"/>
                <w:sz w:val="24"/>
                <w:szCs w:val="24"/>
                <w:lang w:val="en-US" w:eastAsia="zh-CN"/>
              </w:rPr>
            </w:pPr>
            <w:r>
              <w:rPr>
                <w:rFonts w:hint="default" w:ascii="Times New Roman" w:hAnsi="Times New Roman" w:eastAsia="仿宋" w:cs="Times New Roman"/>
                <w:color w:val="000000"/>
                <w:sz w:val="24"/>
                <w:szCs w:val="24"/>
              </w:rPr>
              <w:t>0936-612</w:t>
            </w:r>
            <w:r>
              <w:rPr>
                <w:rFonts w:hint="eastAsia" w:eastAsia="仿宋" w:cs="Times New Roman"/>
                <w:color w:val="000000"/>
                <w:sz w:val="24"/>
                <w:szCs w:val="24"/>
                <w:lang w:val="en-US" w:eastAsia="zh-CN"/>
              </w:rPr>
              <w:t>2505</w:t>
            </w:r>
          </w:p>
        </w:tc>
        <w:tc>
          <w:tcPr>
            <w:tcW w:w="2714" w:type="dxa"/>
            <w:tcBorders>
              <w:top w:val="single" w:color="000000" w:sz="4" w:space="0"/>
              <w:left w:val="single" w:color="000000" w:sz="4" w:space="0"/>
              <w:bottom w:val="single" w:color="000000" w:sz="4" w:space="0"/>
              <w:right w:val="single" w:color="000000" w:sz="4" w:space="0"/>
            </w:tcBorders>
            <w:noWrap w:val="0"/>
            <w:vAlign w:val="center"/>
          </w:tcPr>
          <w:p w14:paraId="7FAF9251">
            <w:pPr>
              <w:adjustRightInd w:val="0"/>
              <w:snapToGrid w:val="0"/>
              <w:spacing w:line="370" w:lineRule="exact"/>
              <w:ind w:left="0" w:leftChars="0" w:firstLine="0" w:firstLineChars="0"/>
              <w:jc w:val="center"/>
              <w:rPr>
                <w:rFonts w:hint="default" w:ascii="Times New Roman" w:hAnsi="Times New Roman" w:eastAsia="仿宋" w:cs="Times New Roman"/>
                <w:color w:val="000000"/>
                <w:sz w:val="24"/>
                <w:szCs w:val="24"/>
                <w:lang w:val="en-US" w:eastAsia="zh-CN"/>
              </w:rPr>
            </w:pPr>
            <w:r>
              <w:rPr>
                <w:rFonts w:hint="default" w:ascii="Times New Roman" w:hAnsi="Times New Roman" w:eastAsia="仿宋" w:cs="Times New Roman"/>
                <w:color w:val="000000"/>
                <w:sz w:val="24"/>
                <w:szCs w:val="24"/>
                <w:lang w:val="en-US" w:eastAsia="zh-CN"/>
              </w:rPr>
              <w:t>/</w:t>
            </w:r>
          </w:p>
        </w:tc>
      </w:tr>
      <w:tr w14:paraId="73982D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3906" w:type="dxa"/>
            <w:tcBorders>
              <w:top w:val="single" w:color="000000" w:sz="4" w:space="0"/>
              <w:left w:val="single" w:color="000000" w:sz="4" w:space="0"/>
              <w:bottom w:val="single" w:color="000000" w:sz="4" w:space="0"/>
              <w:right w:val="single" w:color="000000" w:sz="4" w:space="0"/>
            </w:tcBorders>
            <w:noWrap w:val="0"/>
            <w:vAlign w:val="center"/>
          </w:tcPr>
          <w:p w14:paraId="0D3CD816">
            <w:pPr>
              <w:adjustRightInd w:val="0"/>
              <w:snapToGrid w:val="0"/>
              <w:spacing w:line="370" w:lineRule="exact"/>
              <w:ind w:left="0" w:leftChars="0" w:firstLine="0" w:firstLineChars="0"/>
              <w:jc w:val="center"/>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县市场监管局</w:t>
            </w:r>
          </w:p>
        </w:tc>
        <w:tc>
          <w:tcPr>
            <w:tcW w:w="2440" w:type="dxa"/>
            <w:tcBorders>
              <w:top w:val="single" w:color="000000" w:sz="4" w:space="0"/>
              <w:left w:val="single" w:color="000000" w:sz="4" w:space="0"/>
              <w:bottom w:val="single" w:color="000000" w:sz="4" w:space="0"/>
              <w:right w:val="single" w:color="000000" w:sz="4" w:space="0"/>
            </w:tcBorders>
            <w:noWrap w:val="0"/>
            <w:vAlign w:val="center"/>
          </w:tcPr>
          <w:p w14:paraId="11A200D5">
            <w:pPr>
              <w:adjustRightInd w:val="0"/>
              <w:snapToGrid w:val="0"/>
              <w:spacing w:line="370" w:lineRule="exact"/>
              <w:ind w:left="0" w:leftChars="0" w:firstLine="0" w:firstLineChars="0"/>
              <w:jc w:val="center"/>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0936-6121426</w:t>
            </w:r>
          </w:p>
        </w:tc>
        <w:tc>
          <w:tcPr>
            <w:tcW w:w="2714" w:type="dxa"/>
            <w:tcBorders>
              <w:top w:val="single" w:color="000000" w:sz="4" w:space="0"/>
              <w:left w:val="single" w:color="000000" w:sz="4" w:space="0"/>
              <w:bottom w:val="single" w:color="000000" w:sz="4" w:space="0"/>
              <w:right w:val="single" w:color="000000" w:sz="4" w:space="0"/>
            </w:tcBorders>
            <w:noWrap w:val="0"/>
            <w:vAlign w:val="center"/>
          </w:tcPr>
          <w:p w14:paraId="4231F4BE">
            <w:pPr>
              <w:adjustRightInd w:val="0"/>
              <w:snapToGrid w:val="0"/>
              <w:spacing w:line="370" w:lineRule="exact"/>
              <w:ind w:left="0" w:leftChars="0" w:firstLine="0" w:firstLineChars="0"/>
              <w:jc w:val="center"/>
              <w:rPr>
                <w:rFonts w:hint="default" w:ascii="Times New Roman" w:hAnsi="Times New Roman" w:eastAsia="仿宋" w:cs="Times New Roman"/>
                <w:color w:val="000000"/>
                <w:sz w:val="24"/>
                <w:szCs w:val="24"/>
                <w:lang w:val="en-US" w:eastAsia="zh-CN"/>
              </w:rPr>
            </w:pPr>
            <w:r>
              <w:rPr>
                <w:rFonts w:hint="default" w:ascii="Times New Roman" w:hAnsi="Times New Roman" w:eastAsia="仿宋" w:cs="Times New Roman"/>
                <w:color w:val="000000"/>
                <w:sz w:val="24"/>
                <w:szCs w:val="24"/>
                <w:lang w:val="en-US" w:eastAsia="zh-CN"/>
              </w:rPr>
              <w:t>/</w:t>
            </w:r>
          </w:p>
        </w:tc>
      </w:tr>
      <w:tr w14:paraId="31427B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3906" w:type="dxa"/>
            <w:tcBorders>
              <w:top w:val="single" w:color="000000" w:sz="4" w:space="0"/>
              <w:left w:val="single" w:color="000000" w:sz="4" w:space="0"/>
              <w:bottom w:val="single" w:color="000000" w:sz="4" w:space="0"/>
              <w:right w:val="single" w:color="000000" w:sz="4" w:space="0"/>
            </w:tcBorders>
            <w:noWrap w:val="0"/>
            <w:vAlign w:val="center"/>
          </w:tcPr>
          <w:p w14:paraId="5FBEBB94">
            <w:pPr>
              <w:adjustRightInd w:val="0"/>
              <w:snapToGrid w:val="0"/>
              <w:spacing w:line="370" w:lineRule="exact"/>
              <w:ind w:left="0" w:leftChars="0" w:firstLine="0" w:firstLineChars="0"/>
              <w:jc w:val="center"/>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县气象局</w:t>
            </w:r>
          </w:p>
        </w:tc>
        <w:tc>
          <w:tcPr>
            <w:tcW w:w="2440" w:type="dxa"/>
            <w:tcBorders>
              <w:top w:val="single" w:color="000000" w:sz="4" w:space="0"/>
              <w:left w:val="single" w:color="000000" w:sz="4" w:space="0"/>
              <w:bottom w:val="single" w:color="000000" w:sz="4" w:space="0"/>
              <w:right w:val="single" w:color="000000" w:sz="4" w:space="0"/>
            </w:tcBorders>
            <w:noWrap w:val="0"/>
            <w:vAlign w:val="center"/>
          </w:tcPr>
          <w:p w14:paraId="5AB3A8AB">
            <w:pPr>
              <w:adjustRightInd w:val="0"/>
              <w:snapToGrid w:val="0"/>
              <w:spacing w:line="370" w:lineRule="exact"/>
              <w:ind w:left="0" w:leftChars="0" w:firstLine="0" w:firstLineChars="0"/>
              <w:jc w:val="center"/>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0936-6121327</w:t>
            </w:r>
          </w:p>
        </w:tc>
        <w:tc>
          <w:tcPr>
            <w:tcW w:w="2714" w:type="dxa"/>
            <w:tcBorders>
              <w:top w:val="single" w:color="000000" w:sz="4" w:space="0"/>
              <w:left w:val="single" w:color="000000" w:sz="4" w:space="0"/>
              <w:bottom w:val="single" w:color="000000" w:sz="4" w:space="0"/>
              <w:right w:val="single" w:color="000000" w:sz="4" w:space="0"/>
            </w:tcBorders>
            <w:noWrap w:val="0"/>
            <w:vAlign w:val="center"/>
          </w:tcPr>
          <w:p w14:paraId="2E565F60">
            <w:pPr>
              <w:adjustRightInd w:val="0"/>
              <w:snapToGrid w:val="0"/>
              <w:spacing w:line="370" w:lineRule="exact"/>
              <w:ind w:left="0" w:leftChars="0" w:firstLine="0" w:firstLineChars="0"/>
              <w:jc w:val="center"/>
              <w:rPr>
                <w:rFonts w:hint="default" w:ascii="Times New Roman" w:hAnsi="Times New Roman" w:eastAsia="仿宋" w:cs="Times New Roman"/>
                <w:color w:val="000000"/>
                <w:sz w:val="24"/>
                <w:szCs w:val="24"/>
                <w:lang w:val="en-US" w:eastAsia="zh-CN"/>
              </w:rPr>
            </w:pPr>
            <w:r>
              <w:rPr>
                <w:rFonts w:hint="default" w:ascii="Times New Roman" w:hAnsi="Times New Roman" w:eastAsia="仿宋" w:cs="Times New Roman"/>
                <w:color w:val="000000"/>
                <w:sz w:val="24"/>
                <w:szCs w:val="24"/>
                <w:lang w:val="en-US" w:eastAsia="zh-CN"/>
              </w:rPr>
              <w:t>/</w:t>
            </w:r>
          </w:p>
        </w:tc>
      </w:tr>
      <w:tr w14:paraId="111EA7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3906" w:type="dxa"/>
            <w:tcBorders>
              <w:top w:val="single" w:color="000000" w:sz="4" w:space="0"/>
              <w:left w:val="single" w:color="000000" w:sz="4" w:space="0"/>
              <w:bottom w:val="single" w:color="000000" w:sz="4" w:space="0"/>
              <w:right w:val="single" w:color="000000" w:sz="4" w:space="0"/>
            </w:tcBorders>
            <w:noWrap w:val="0"/>
            <w:vAlign w:val="center"/>
          </w:tcPr>
          <w:p w14:paraId="6AD2FCA0">
            <w:pPr>
              <w:adjustRightInd w:val="0"/>
              <w:snapToGrid w:val="0"/>
              <w:spacing w:line="370" w:lineRule="exact"/>
              <w:ind w:left="0" w:leftChars="0" w:firstLine="0" w:firstLineChars="0"/>
              <w:jc w:val="center"/>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县地震局</w:t>
            </w:r>
          </w:p>
        </w:tc>
        <w:tc>
          <w:tcPr>
            <w:tcW w:w="2440" w:type="dxa"/>
            <w:tcBorders>
              <w:top w:val="single" w:color="000000" w:sz="4" w:space="0"/>
              <w:left w:val="single" w:color="000000" w:sz="4" w:space="0"/>
              <w:bottom w:val="single" w:color="000000" w:sz="4" w:space="0"/>
              <w:right w:val="single" w:color="000000" w:sz="4" w:space="0"/>
            </w:tcBorders>
            <w:noWrap w:val="0"/>
            <w:vAlign w:val="center"/>
          </w:tcPr>
          <w:p w14:paraId="1E32DBE0">
            <w:pPr>
              <w:adjustRightInd w:val="0"/>
              <w:snapToGrid w:val="0"/>
              <w:spacing w:line="370" w:lineRule="exact"/>
              <w:ind w:left="0" w:leftChars="0" w:firstLine="0" w:firstLineChars="0"/>
              <w:jc w:val="center"/>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0936-6121593</w:t>
            </w:r>
          </w:p>
        </w:tc>
        <w:tc>
          <w:tcPr>
            <w:tcW w:w="2714" w:type="dxa"/>
            <w:tcBorders>
              <w:top w:val="single" w:color="000000" w:sz="4" w:space="0"/>
              <w:left w:val="single" w:color="000000" w:sz="4" w:space="0"/>
              <w:bottom w:val="single" w:color="000000" w:sz="4" w:space="0"/>
              <w:right w:val="single" w:color="000000" w:sz="4" w:space="0"/>
            </w:tcBorders>
            <w:noWrap w:val="0"/>
            <w:vAlign w:val="center"/>
          </w:tcPr>
          <w:p w14:paraId="799266A0">
            <w:pPr>
              <w:adjustRightInd w:val="0"/>
              <w:snapToGrid w:val="0"/>
              <w:spacing w:line="370" w:lineRule="exact"/>
              <w:ind w:left="0" w:leftChars="0" w:firstLine="0" w:firstLineChars="0"/>
              <w:jc w:val="center"/>
              <w:rPr>
                <w:rFonts w:hint="eastAsia" w:ascii="Times New Roman" w:hAnsi="Times New Roman" w:eastAsia="仿宋" w:cs="Times New Roman"/>
                <w:color w:val="000000"/>
                <w:sz w:val="24"/>
                <w:szCs w:val="24"/>
                <w:lang w:eastAsia="zh-CN"/>
              </w:rPr>
            </w:pPr>
            <w:r>
              <w:rPr>
                <w:rFonts w:hint="eastAsia" w:eastAsia="仿宋" w:cs="Times New Roman"/>
                <w:color w:val="000000"/>
                <w:sz w:val="24"/>
                <w:szCs w:val="24"/>
                <w:lang w:val="en-US" w:eastAsia="zh-CN"/>
              </w:rPr>
              <w:t>/</w:t>
            </w:r>
          </w:p>
        </w:tc>
      </w:tr>
      <w:tr w14:paraId="65B12E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3906" w:type="dxa"/>
            <w:tcBorders>
              <w:top w:val="single" w:color="000000" w:sz="4" w:space="0"/>
              <w:left w:val="single" w:color="000000" w:sz="4" w:space="0"/>
              <w:bottom w:val="single" w:color="000000" w:sz="4" w:space="0"/>
              <w:right w:val="single" w:color="000000" w:sz="4" w:space="0"/>
            </w:tcBorders>
            <w:noWrap w:val="0"/>
            <w:vAlign w:val="center"/>
          </w:tcPr>
          <w:p w14:paraId="3D07268D">
            <w:pPr>
              <w:adjustRightInd w:val="0"/>
              <w:snapToGrid w:val="0"/>
              <w:spacing w:line="370" w:lineRule="exact"/>
              <w:ind w:left="0" w:leftChars="0" w:firstLine="0" w:firstLineChars="0"/>
              <w:jc w:val="center"/>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县民政局</w:t>
            </w:r>
          </w:p>
        </w:tc>
        <w:tc>
          <w:tcPr>
            <w:tcW w:w="2440" w:type="dxa"/>
            <w:tcBorders>
              <w:top w:val="single" w:color="000000" w:sz="4" w:space="0"/>
              <w:left w:val="single" w:color="000000" w:sz="4" w:space="0"/>
              <w:bottom w:val="single" w:color="000000" w:sz="4" w:space="0"/>
              <w:right w:val="single" w:color="000000" w:sz="4" w:space="0"/>
            </w:tcBorders>
            <w:noWrap w:val="0"/>
            <w:vAlign w:val="center"/>
          </w:tcPr>
          <w:p w14:paraId="58A7BC22">
            <w:pPr>
              <w:adjustRightInd w:val="0"/>
              <w:snapToGrid w:val="0"/>
              <w:spacing w:line="370" w:lineRule="exact"/>
              <w:ind w:left="0" w:leftChars="0" w:firstLine="0" w:firstLineChars="0"/>
              <w:jc w:val="center"/>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0936-6121532</w:t>
            </w:r>
          </w:p>
        </w:tc>
        <w:tc>
          <w:tcPr>
            <w:tcW w:w="2714" w:type="dxa"/>
            <w:tcBorders>
              <w:top w:val="single" w:color="000000" w:sz="4" w:space="0"/>
              <w:left w:val="single" w:color="000000" w:sz="4" w:space="0"/>
              <w:bottom w:val="single" w:color="000000" w:sz="4" w:space="0"/>
              <w:right w:val="single" w:color="000000" w:sz="4" w:space="0"/>
            </w:tcBorders>
            <w:noWrap w:val="0"/>
            <w:vAlign w:val="center"/>
          </w:tcPr>
          <w:p w14:paraId="75FB5F97">
            <w:pPr>
              <w:adjustRightInd w:val="0"/>
              <w:snapToGrid w:val="0"/>
              <w:spacing w:line="370" w:lineRule="exact"/>
              <w:ind w:left="0" w:leftChars="0" w:firstLine="0" w:firstLineChars="0"/>
              <w:jc w:val="center"/>
              <w:rPr>
                <w:rFonts w:hint="eastAsia" w:ascii="Times New Roman" w:hAnsi="Times New Roman" w:eastAsia="仿宋" w:cs="Times New Roman"/>
                <w:color w:val="000000"/>
                <w:sz w:val="24"/>
                <w:szCs w:val="24"/>
                <w:lang w:eastAsia="zh-CN"/>
              </w:rPr>
            </w:pPr>
            <w:r>
              <w:rPr>
                <w:rFonts w:hint="eastAsia" w:eastAsia="仿宋" w:cs="Times New Roman"/>
                <w:color w:val="000000"/>
                <w:sz w:val="24"/>
                <w:szCs w:val="24"/>
                <w:lang w:val="en-US" w:eastAsia="zh-CN"/>
              </w:rPr>
              <w:t>/</w:t>
            </w:r>
          </w:p>
        </w:tc>
      </w:tr>
      <w:tr w14:paraId="139788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3906" w:type="dxa"/>
            <w:tcBorders>
              <w:top w:val="single" w:color="000000" w:sz="4" w:space="0"/>
              <w:left w:val="single" w:color="000000" w:sz="4" w:space="0"/>
              <w:bottom w:val="single" w:color="000000" w:sz="4" w:space="0"/>
              <w:right w:val="single" w:color="000000" w:sz="4" w:space="0"/>
            </w:tcBorders>
            <w:noWrap w:val="0"/>
            <w:vAlign w:val="center"/>
          </w:tcPr>
          <w:p w14:paraId="3166E4C4">
            <w:pPr>
              <w:adjustRightInd w:val="0"/>
              <w:snapToGrid w:val="0"/>
              <w:spacing w:line="370" w:lineRule="exact"/>
              <w:ind w:left="0" w:leftChars="0" w:firstLine="0" w:firstLineChars="0"/>
              <w:jc w:val="center"/>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县文旅局</w:t>
            </w:r>
          </w:p>
        </w:tc>
        <w:tc>
          <w:tcPr>
            <w:tcW w:w="2440" w:type="dxa"/>
            <w:tcBorders>
              <w:top w:val="single" w:color="000000" w:sz="4" w:space="0"/>
              <w:left w:val="single" w:color="000000" w:sz="4" w:space="0"/>
              <w:bottom w:val="single" w:color="000000" w:sz="4" w:space="0"/>
              <w:right w:val="single" w:color="000000" w:sz="4" w:space="0"/>
            </w:tcBorders>
            <w:noWrap w:val="0"/>
            <w:vAlign w:val="center"/>
          </w:tcPr>
          <w:p w14:paraId="2F44074E">
            <w:pPr>
              <w:adjustRightInd w:val="0"/>
              <w:snapToGrid w:val="0"/>
              <w:spacing w:line="370" w:lineRule="exact"/>
              <w:ind w:left="0" w:leftChars="0" w:firstLine="0" w:firstLineChars="0"/>
              <w:jc w:val="center"/>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0936-6121125</w:t>
            </w:r>
          </w:p>
        </w:tc>
        <w:tc>
          <w:tcPr>
            <w:tcW w:w="2714" w:type="dxa"/>
            <w:tcBorders>
              <w:top w:val="single" w:color="000000" w:sz="4" w:space="0"/>
              <w:left w:val="single" w:color="000000" w:sz="4" w:space="0"/>
              <w:bottom w:val="single" w:color="000000" w:sz="4" w:space="0"/>
              <w:right w:val="single" w:color="000000" w:sz="4" w:space="0"/>
            </w:tcBorders>
            <w:noWrap w:val="0"/>
            <w:vAlign w:val="center"/>
          </w:tcPr>
          <w:p w14:paraId="1F680E16">
            <w:pPr>
              <w:adjustRightInd w:val="0"/>
              <w:snapToGrid w:val="0"/>
              <w:spacing w:line="370" w:lineRule="exact"/>
              <w:ind w:left="0" w:leftChars="0" w:firstLine="0" w:firstLineChars="0"/>
              <w:jc w:val="center"/>
              <w:rPr>
                <w:rFonts w:hint="eastAsia" w:ascii="Times New Roman" w:hAnsi="Times New Roman" w:eastAsia="仿宋" w:cs="Times New Roman"/>
                <w:color w:val="000000"/>
                <w:sz w:val="24"/>
                <w:szCs w:val="24"/>
                <w:lang w:eastAsia="zh-CN"/>
              </w:rPr>
            </w:pPr>
            <w:r>
              <w:rPr>
                <w:rFonts w:hint="eastAsia" w:eastAsia="仿宋" w:cs="Times New Roman"/>
                <w:color w:val="000000"/>
                <w:sz w:val="24"/>
                <w:szCs w:val="24"/>
                <w:lang w:val="en-US" w:eastAsia="zh-CN"/>
              </w:rPr>
              <w:t>/</w:t>
            </w:r>
          </w:p>
        </w:tc>
      </w:tr>
    </w:tbl>
    <w:p w14:paraId="09C07E66">
      <w:pPr>
        <w:keepNext/>
        <w:keepLines/>
        <w:pageBreakBefore w:val="0"/>
        <w:widowControl w:val="0"/>
        <w:kinsoku/>
        <w:wordWrap/>
        <w:overflowPunct/>
        <w:topLinePunct w:val="0"/>
        <w:autoSpaceDE/>
        <w:autoSpaceDN/>
        <w:bidi w:val="0"/>
        <w:adjustRightInd/>
        <w:snapToGrid/>
        <w:spacing w:line="360" w:lineRule="auto"/>
        <w:ind w:firstLine="320" w:firstLineChars="100"/>
        <w:jc w:val="both"/>
        <w:textAlignment w:val="auto"/>
        <w:outlineLvl w:val="1"/>
        <w:rPr>
          <w:rFonts w:hint="default" w:ascii="黑体" w:hAnsi="黑体" w:eastAsia="黑体" w:cs="Times New Roman"/>
          <w:b w:val="0"/>
          <w:bCs w:val="0"/>
          <w:color w:val="auto"/>
          <w:kern w:val="2"/>
          <w:sz w:val="32"/>
          <w:szCs w:val="24"/>
          <w:highlight w:val="none"/>
          <w:lang w:val="en-US" w:eastAsia="zh-CN" w:bidi="ar-SA"/>
        </w:rPr>
      </w:pPr>
      <w:bookmarkStart w:id="98" w:name="_Toc13900"/>
      <w:bookmarkStart w:id="99" w:name="_Toc990258290"/>
      <w:r>
        <w:rPr>
          <w:rFonts w:hint="eastAsia" w:ascii="黑体" w:hAnsi="黑体" w:eastAsia="黑体" w:cs="Times New Roman"/>
          <w:b w:val="0"/>
          <w:bCs w:val="0"/>
          <w:color w:val="auto"/>
          <w:kern w:val="2"/>
          <w:sz w:val="32"/>
          <w:szCs w:val="24"/>
          <w:highlight w:val="none"/>
          <w:lang w:val="en-US" w:eastAsia="zh-CN" w:bidi="ar-SA"/>
        </w:rPr>
        <w:t>三、</w:t>
      </w:r>
      <w:r>
        <w:rPr>
          <w:rFonts w:hint="default" w:ascii="黑体" w:hAnsi="黑体" w:eastAsia="黑体" w:cs="Times New Roman"/>
          <w:b w:val="0"/>
          <w:bCs w:val="0"/>
          <w:color w:val="auto"/>
          <w:kern w:val="2"/>
          <w:sz w:val="32"/>
          <w:szCs w:val="24"/>
          <w:highlight w:val="none"/>
          <w:lang w:val="en-US" w:eastAsia="zh-CN" w:bidi="ar-SA"/>
        </w:rPr>
        <w:t>外部救援资源</w:t>
      </w:r>
      <w:bookmarkEnd w:id="98"/>
      <w:bookmarkEnd w:id="99"/>
    </w:p>
    <w:p w14:paraId="21923FEA">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default" w:ascii="楷体_GB2312" w:hAnsi="楷体_GB2312" w:eastAsia="楷体_GB2312" w:cs="楷体_GB2312"/>
          <w:b w:val="0"/>
          <w:bCs w:val="0"/>
          <w:kern w:val="2"/>
          <w:sz w:val="32"/>
          <w:szCs w:val="32"/>
          <w:lang w:val="en-US" w:eastAsia="zh-CN" w:bidi="ar-SA"/>
        </w:rPr>
      </w:pPr>
      <w:bookmarkStart w:id="100" w:name="_Toc1029653849"/>
      <w:r>
        <w:rPr>
          <w:rFonts w:hint="eastAsia" w:ascii="楷体_GB2312" w:hAnsi="楷体_GB2312" w:eastAsia="楷体_GB2312" w:cs="楷体_GB2312"/>
          <w:b w:val="0"/>
          <w:bCs w:val="0"/>
          <w:kern w:val="2"/>
          <w:sz w:val="32"/>
          <w:szCs w:val="32"/>
          <w:lang w:val="en-US" w:eastAsia="zh-CN" w:bidi="ar-SA"/>
        </w:rPr>
        <w:t>（一）</w:t>
      </w:r>
      <w:r>
        <w:rPr>
          <w:rFonts w:hint="default" w:ascii="楷体_GB2312" w:hAnsi="楷体_GB2312" w:eastAsia="楷体_GB2312" w:cs="楷体_GB2312"/>
          <w:b w:val="0"/>
          <w:bCs w:val="0"/>
          <w:kern w:val="2"/>
          <w:sz w:val="32"/>
          <w:szCs w:val="32"/>
          <w:lang w:val="en-US" w:eastAsia="zh-CN" w:bidi="ar-SA"/>
        </w:rPr>
        <w:t>周边区域互助</w:t>
      </w:r>
      <w:bookmarkEnd w:id="100"/>
    </w:p>
    <w:p w14:paraId="79D0FA1D">
      <w:pPr>
        <w:spacing w:line="360" w:lineRule="auto"/>
        <w:ind w:firstLine="560"/>
        <w:rPr>
          <w:rFonts w:hint="default" w:ascii="仿宋_GB2312" w:hAnsi="仿宋_GB2312" w:eastAsia="仿宋_GB2312" w:cs="仿宋_GB2312"/>
          <w:color w:val="000000"/>
          <w:sz w:val="32"/>
          <w:szCs w:val="32"/>
        </w:rPr>
      </w:pPr>
      <w:r>
        <w:rPr>
          <w:rFonts w:hint="default" w:ascii="仿宋_GB2312" w:hAnsi="仿宋_GB2312" w:eastAsia="仿宋_GB2312" w:cs="仿宋_GB2312"/>
          <w:color w:val="000000"/>
          <w:sz w:val="32"/>
          <w:szCs w:val="32"/>
        </w:rPr>
        <w:t>加强与周边地区政府良好的合作关系，在事故发生时，能够快速给予本行政区域救援物资、人员救治等方面的帮助，同时也可根据救援需求，提供其他相应支持。目前</w:t>
      </w:r>
      <w:r>
        <w:rPr>
          <w:rFonts w:hint="default" w:ascii="仿宋_GB2312" w:hAnsi="仿宋_GB2312" w:eastAsia="仿宋_GB2312" w:cs="仿宋_GB2312"/>
          <w:color w:val="000000"/>
          <w:sz w:val="32"/>
          <w:szCs w:val="32"/>
          <w:lang w:val="en-US" w:eastAsia="zh-CN"/>
        </w:rPr>
        <w:t>肃南县</w:t>
      </w:r>
      <w:r>
        <w:rPr>
          <w:rFonts w:hint="default" w:ascii="仿宋_GB2312" w:hAnsi="仿宋_GB2312" w:eastAsia="仿宋_GB2312" w:cs="仿宋_GB2312"/>
          <w:color w:val="000000"/>
          <w:sz w:val="32"/>
          <w:szCs w:val="32"/>
        </w:rPr>
        <w:t>未与</w:t>
      </w:r>
      <w:r>
        <w:rPr>
          <w:rFonts w:hint="default" w:ascii="仿宋_GB2312" w:hAnsi="仿宋_GB2312" w:eastAsia="仿宋_GB2312" w:cs="仿宋_GB2312"/>
          <w:color w:val="000000"/>
          <w:sz w:val="32"/>
          <w:szCs w:val="32"/>
          <w:lang w:val="en-US" w:eastAsia="zh-CN"/>
        </w:rPr>
        <w:t>周边城市政府</w:t>
      </w:r>
      <w:r>
        <w:rPr>
          <w:rFonts w:hint="default" w:ascii="仿宋_GB2312" w:hAnsi="仿宋_GB2312" w:eastAsia="仿宋_GB2312" w:cs="仿宋_GB2312"/>
          <w:color w:val="000000"/>
          <w:sz w:val="32"/>
          <w:szCs w:val="32"/>
        </w:rPr>
        <w:t>签订环境风险互助协议。</w:t>
      </w:r>
    </w:p>
    <w:p w14:paraId="13EB05FC">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default" w:ascii="楷体_GB2312" w:hAnsi="楷体_GB2312" w:eastAsia="楷体_GB2312" w:cs="楷体_GB2312"/>
          <w:b w:val="0"/>
          <w:bCs w:val="0"/>
          <w:kern w:val="2"/>
          <w:sz w:val="32"/>
          <w:szCs w:val="32"/>
          <w:lang w:val="en-US" w:eastAsia="zh-CN" w:bidi="ar-SA"/>
        </w:rPr>
      </w:pPr>
      <w:bookmarkStart w:id="101" w:name="_Toc1931517531"/>
      <w:r>
        <w:rPr>
          <w:rFonts w:hint="eastAsia" w:ascii="楷体_GB2312" w:hAnsi="楷体_GB2312" w:eastAsia="楷体_GB2312" w:cs="楷体_GB2312"/>
          <w:b w:val="0"/>
          <w:bCs w:val="0"/>
          <w:kern w:val="2"/>
          <w:sz w:val="32"/>
          <w:szCs w:val="32"/>
          <w:lang w:val="en-US" w:eastAsia="zh-CN" w:bidi="ar-SA"/>
        </w:rPr>
        <w:t>（二）</w:t>
      </w:r>
      <w:r>
        <w:rPr>
          <w:rFonts w:hint="default" w:ascii="楷体_GB2312" w:hAnsi="楷体_GB2312" w:eastAsia="楷体_GB2312" w:cs="楷体_GB2312"/>
          <w:b w:val="0"/>
          <w:bCs w:val="0"/>
          <w:kern w:val="2"/>
          <w:sz w:val="32"/>
          <w:szCs w:val="32"/>
          <w:lang w:val="en-US" w:eastAsia="zh-CN" w:bidi="ar-SA"/>
        </w:rPr>
        <w:t>请求政府协调应急救援力量</w:t>
      </w:r>
      <w:bookmarkEnd w:id="101"/>
    </w:p>
    <w:p w14:paraId="1FE900D0">
      <w:pPr>
        <w:spacing w:line="360" w:lineRule="auto"/>
        <w:ind w:firstLine="560"/>
        <w:rPr>
          <w:rFonts w:hint="default" w:ascii="Times New Roman" w:hAnsi="Times New Roman" w:eastAsia="仿宋" w:cs="Times New Roman"/>
          <w:color w:val="000000"/>
          <w:sz w:val="32"/>
          <w:szCs w:val="32"/>
        </w:rPr>
      </w:pPr>
      <w:r>
        <w:rPr>
          <w:rFonts w:hint="eastAsia" w:ascii="仿宋_GB2312" w:hAnsi="仿宋_GB2312" w:eastAsia="仿宋_GB2312" w:cs="仿宋_GB2312"/>
          <w:color w:val="000000"/>
          <w:sz w:val="32"/>
          <w:szCs w:val="32"/>
        </w:rPr>
        <w:t>如发生重大环境事件，抢救力量不足，事件无法得到有效控制，请求上级政府支援，由政府调动相关部门进行全力支持和救护，具体见《肃南县突发环境事件应急预案》</w:t>
      </w:r>
      <w:r>
        <w:rPr>
          <w:rFonts w:hint="default" w:ascii="仿宋_GB2312" w:hAnsi="仿宋_GB2312" w:eastAsia="仿宋_GB2312" w:cs="仿宋_GB2312"/>
          <w:color w:val="000000"/>
          <w:sz w:val="32"/>
          <w:szCs w:val="32"/>
        </w:rPr>
        <w:t>。</w:t>
      </w:r>
    </w:p>
    <w:p w14:paraId="46357FFB">
      <w:pPr>
        <w:keepNext w:val="0"/>
        <w:keepLines w:val="0"/>
        <w:pageBreakBefore w:val="0"/>
        <w:widowControl w:val="0"/>
        <w:numPr>
          <w:ilvl w:val="0"/>
          <w:numId w:val="7"/>
        </w:numPr>
        <w:kinsoku/>
        <w:wordWrap/>
        <w:overflowPunct/>
        <w:topLinePunct w:val="0"/>
        <w:autoSpaceDE/>
        <w:autoSpaceDN/>
        <w:bidi w:val="0"/>
        <w:adjustRightInd/>
        <w:snapToGrid/>
        <w:spacing w:line="360" w:lineRule="auto"/>
        <w:ind w:firstLine="640" w:firstLineChars="200"/>
        <w:jc w:val="both"/>
        <w:textAlignment w:val="auto"/>
        <w:rPr>
          <w:rFonts w:hint="default" w:ascii="楷体_GB2312" w:hAnsi="楷体_GB2312" w:eastAsia="楷体_GB2312" w:cs="楷体_GB2312"/>
          <w:b w:val="0"/>
          <w:bCs w:val="0"/>
          <w:kern w:val="2"/>
          <w:sz w:val="32"/>
          <w:szCs w:val="32"/>
          <w:lang w:val="en-US" w:eastAsia="zh-CN" w:bidi="ar-SA"/>
        </w:rPr>
      </w:pPr>
      <w:bookmarkStart w:id="102" w:name="_Toc817182394"/>
      <w:r>
        <w:rPr>
          <w:rFonts w:hint="default" w:ascii="楷体_GB2312" w:hAnsi="楷体_GB2312" w:eastAsia="楷体_GB2312" w:cs="楷体_GB2312"/>
          <w:b w:val="0"/>
          <w:bCs w:val="0"/>
          <w:kern w:val="2"/>
          <w:sz w:val="32"/>
          <w:szCs w:val="32"/>
          <w:lang w:val="en-US" w:eastAsia="zh-CN" w:bidi="ar-SA"/>
        </w:rPr>
        <w:t>外部机构名单及联系方式</w:t>
      </w:r>
      <w:bookmarkEnd w:id="102"/>
    </w:p>
    <w:p w14:paraId="510EC7E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 w:cs="Times New Roman"/>
          <w:color w:val="000000"/>
          <w:sz w:val="32"/>
          <w:szCs w:val="32"/>
        </w:rPr>
        <w:t>外</w:t>
      </w:r>
      <w:r>
        <w:rPr>
          <w:rFonts w:hint="default" w:ascii="仿宋_GB2312" w:hAnsi="仿宋_GB2312" w:eastAsia="仿宋_GB2312" w:cs="仿宋_GB2312"/>
          <w:color w:val="000000"/>
          <w:sz w:val="32"/>
          <w:szCs w:val="32"/>
        </w:rPr>
        <w:t>部救援机构名单见表</w:t>
      </w:r>
      <w:r>
        <w:rPr>
          <w:rFonts w:hint="default" w:ascii="Times New Roman" w:hAnsi="Times New Roman" w:eastAsia="仿宋_GB2312" w:cs="Times New Roman"/>
          <w:color w:val="000000"/>
          <w:sz w:val="32"/>
          <w:szCs w:val="32"/>
          <w:lang w:val="en-US" w:eastAsia="zh-CN"/>
        </w:rPr>
        <w:t>8</w:t>
      </w:r>
      <w:r>
        <w:rPr>
          <w:rFonts w:hint="default" w:ascii="Times New Roman" w:hAnsi="Times New Roman" w:eastAsia="仿宋_GB2312" w:cs="Times New Roman"/>
          <w:sz w:val="32"/>
          <w:szCs w:val="32"/>
        </w:rPr>
        <w:t>。</w:t>
      </w:r>
    </w:p>
    <w:p w14:paraId="3AFE489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p>
    <w:p w14:paraId="111BDC7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p>
    <w:p w14:paraId="711BEF4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p>
    <w:p w14:paraId="50EB650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p>
    <w:p w14:paraId="4A4C084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p>
    <w:p w14:paraId="144634A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p>
    <w:p w14:paraId="46B93EF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p>
    <w:p w14:paraId="258F600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p>
    <w:p w14:paraId="0D11D76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p>
    <w:p w14:paraId="05FFCAA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p>
    <w:p w14:paraId="4CBCD8D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p>
    <w:p w14:paraId="5F0CF20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p>
    <w:p w14:paraId="452B5BE6">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32"/>
          <w:szCs w:val="32"/>
        </w:rPr>
      </w:pPr>
    </w:p>
    <w:p w14:paraId="3FA913B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w:t>
      </w:r>
      <w:r>
        <w:rPr>
          <w:rFonts w:hint="eastAsia"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rPr>
        <w:t xml:space="preserve"> 外部救援机构名单一览表</w:t>
      </w:r>
    </w:p>
    <w:tbl>
      <w:tblPr>
        <w:tblStyle w:val="3"/>
        <w:tblW w:w="4996"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341"/>
        <w:gridCol w:w="3763"/>
        <w:gridCol w:w="1705"/>
        <w:gridCol w:w="1705"/>
      </w:tblGrid>
      <w:tr w14:paraId="3DA5FE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787" w:type="pct"/>
            <w:noWrap w:val="0"/>
            <w:vAlign w:val="center"/>
          </w:tcPr>
          <w:p w14:paraId="3C8C6C4B">
            <w:pPr>
              <w:keepNext w:val="0"/>
              <w:keepLines w:val="0"/>
              <w:pageBreakBefore w:val="0"/>
              <w:kinsoku/>
              <w:wordWrap/>
              <w:overflowPunct w:val="0"/>
              <w:topLinePunct w:val="0"/>
              <w:autoSpaceDE/>
              <w:autoSpaceDN/>
              <w:bidi w:val="0"/>
              <w:adjustRightInd w:val="0"/>
              <w:snapToGrid w:val="0"/>
              <w:spacing w:line="240" w:lineRule="auto"/>
              <w:ind w:firstLine="0" w:firstLineChars="0"/>
              <w:jc w:val="center"/>
              <w:textAlignment w:val="baseline"/>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部门</w:t>
            </w:r>
          </w:p>
        </w:tc>
        <w:tc>
          <w:tcPr>
            <w:tcW w:w="2209" w:type="pct"/>
            <w:noWrap w:val="0"/>
            <w:vAlign w:val="center"/>
          </w:tcPr>
          <w:p w14:paraId="7EF36570">
            <w:pPr>
              <w:keepNext w:val="0"/>
              <w:keepLines w:val="0"/>
              <w:pageBreakBefore w:val="0"/>
              <w:kinsoku/>
              <w:wordWrap/>
              <w:overflowPunct w:val="0"/>
              <w:topLinePunct w:val="0"/>
              <w:autoSpaceDE/>
              <w:autoSpaceDN/>
              <w:bidi w:val="0"/>
              <w:adjustRightInd w:val="0"/>
              <w:snapToGrid w:val="0"/>
              <w:spacing w:line="240" w:lineRule="auto"/>
              <w:ind w:firstLine="0" w:firstLineChars="0"/>
              <w:jc w:val="center"/>
              <w:textAlignment w:val="baseline"/>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单位</w:t>
            </w:r>
          </w:p>
        </w:tc>
        <w:tc>
          <w:tcPr>
            <w:tcW w:w="1001" w:type="pct"/>
            <w:noWrap w:val="0"/>
            <w:vAlign w:val="center"/>
          </w:tcPr>
          <w:p w14:paraId="3AF3673D">
            <w:pPr>
              <w:keepNext w:val="0"/>
              <w:keepLines w:val="0"/>
              <w:pageBreakBefore w:val="0"/>
              <w:kinsoku/>
              <w:wordWrap/>
              <w:overflowPunct w:val="0"/>
              <w:topLinePunct w:val="0"/>
              <w:autoSpaceDE/>
              <w:autoSpaceDN/>
              <w:bidi w:val="0"/>
              <w:adjustRightInd w:val="0"/>
              <w:snapToGrid w:val="0"/>
              <w:spacing w:line="240" w:lineRule="auto"/>
              <w:ind w:firstLine="0" w:firstLineChars="0"/>
              <w:jc w:val="center"/>
              <w:textAlignment w:val="baseline"/>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联系方式</w:t>
            </w:r>
          </w:p>
        </w:tc>
        <w:tc>
          <w:tcPr>
            <w:tcW w:w="1001" w:type="pct"/>
            <w:noWrap w:val="0"/>
            <w:vAlign w:val="center"/>
          </w:tcPr>
          <w:p w14:paraId="7535C9A8">
            <w:pPr>
              <w:keepNext w:val="0"/>
              <w:keepLines w:val="0"/>
              <w:pageBreakBefore w:val="0"/>
              <w:kinsoku/>
              <w:wordWrap/>
              <w:overflowPunct w:val="0"/>
              <w:topLinePunct w:val="0"/>
              <w:autoSpaceDE/>
              <w:autoSpaceDN/>
              <w:bidi w:val="0"/>
              <w:adjustRightInd w:val="0"/>
              <w:snapToGrid w:val="0"/>
              <w:spacing w:line="240" w:lineRule="auto"/>
              <w:ind w:firstLine="0" w:firstLineChars="0"/>
              <w:jc w:val="center"/>
              <w:textAlignment w:val="baseline"/>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传真</w:t>
            </w:r>
          </w:p>
        </w:tc>
      </w:tr>
      <w:tr w14:paraId="26FD01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787" w:type="pct"/>
            <w:vMerge w:val="restart"/>
            <w:noWrap w:val="0"/>
            <w:vAlign w:val="center"/>
          </w:tcPr>
          <w:p w14:paraId="4435B130">
            <w:pPr>
              <w:keepNext w:val="0"/>
              <w:keepLines w:val="0"/>
              <w:pageBreakBefore w:val="0"/>
              <w:kinsoku/>
              <w:wordWrap/>
              <w:overflowPunct w:val="0"/>
              <w:topLinePunct w:val="0"/>
              <w:autoSpaceDE/>
              <w:autoSpaceDN/>
              <w:bidi w:val="0"/>
              <w:adjustRightInd w:val="0"/>
              <w:snapToGrid w:val="0"/>
              <w:spacing w:line="240" w:lineRule="auto"/>
              <w:ind w:firstLine="0" w:firstLineChars="0"/>
              <w:jc w:val="center"/>
              <w:textAlignment w:val="baseline"/>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lang w:val="en-US" w:eastAsia="zh-CN"/>
              </w:rPr>
              <w:t>生态环境</w:t>
            </w:r>
            <w:r>
              <w:rPr>
                <w:rFonts w:hint="default" w:ascii="Times New Roman" w:hAnsi="Times New Roman" w:eastAsia="仿宋" w:cs="Times New Roman"/>
                <w:color w:val="000000"/>
                <w:sz w:val="24"/>
                <w:szCs w:val="24"/>
              </w:rPr>
              <w:t>部门</w:t>
            </w:r>
          </w:p>
        </w:tc>
        <w:tc>
          <w:tcPr>
            <w:tcW w:w="2209" w:type="pct"/>
            <w:noWrap w:val="0"/>
            <w:vAlign w:val="center"/>
          </w:tcPr>
          <w:p w14:paraId="7F2CB77C">
            <w:pPr>
              <w:keepNext w:val="0"/>
              <w:keepLines w:val="0"/>
              <w:pageBreakBefore w:val="0"/>
              <w:kinsoku/>
              <w:wordWrap/>
              <w:overflowPunct w:val="0"/>
              <w:topLinePunct w:val="0"/>
              <w:autoSpaceDE/>
              <w:autoSpaceDN/>
              <w:bidi w:val="0"/>
              <w:adjustRightInd w:val="0"/>
              <w:snapToGrid w:val="0"/>
              <w:spacing w:line="240" w:lineRule="auto"/>
              <w:ind w:firstLine="0" w:firstLineChars="0"/>
              <w:jc w:val="center"/>
              <w:textAlignment w:val="baseline"/>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生态环境部总值班室</w:t>
            </w:r>
          </w:p>
        </w:tc>
        <w:tc>
          <w:tcPr>
            <w:tcW w:w="1001" w:type="pct"/>
            <w:noWrap w:val="0"/>
            <w:vAlign w:val="center"/>
          </w:tcPr>
          <w:p w14:paraId="48E9E2C6">
            <w:pPr>
              <w:keepNext w:val="0"/>
              <w:keepLines w:val="0"/>
              <w:pageBreakBefore w:val="0"/>
              <w:kinsoku/>
              <w:wordWrap/>
              <w:overflowPunct w:val="0"/>
              <w:topLinePunct w:val="0"/>
              <w:autoSpaceDE/>
              <w:autoSpaceDN/>
              <w:bidi w:val="0"/>
              <w:adjustRightInd w:val="0"/>
              <w:snapToGrid w:val="0"/>
              <w:spacing w:line="240" w:lineRule="auto"/>
              <w:ind w:firstLine="0" w:firstLineChars="0"/>
              <w:jc w:val="center"/>
              <w:textAlignment w:val="baseline"/>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010-66556006</w:t>
            </w:r>
          </w:p>
        </w:tc>
        <w:tc>
          <w:tcPr>
            <w:tcW w:w="1001" w:type="pct"/>
            <w:noWrap w:val="0"/>
            <w:vAlign w:val="center"/>
          </w:tcPr>
          <w:p w14:paraId="4B65CDC5">
            <w:pPr>
              <w:keepNext w:val="0"/>
              <w:keepLines w:val="0"/>
              <w:pageBreakBefore w:val="0"/>
              <w:kinsoku/>
              <w:wordWrap/>
              <w:overflowPunct w:val="0"/>
              <w:topLinePunct w:val="0"/>
              <w:autoSpaceDE/>
              <w:autoSpaceDN/>
              <w:bidi w:val="0"/>
              <w:adjustRightInd w:val="0"/>
              <w:snapToGrid w:val="0"/>
              <w:spacing w:line="240" w:lineRule="auto"/>
              <w:ind w:firstLine="0" w:firstLineChars="0"/>
              <w:jc w:val="center"/>
              <w:textAlignment w:val="baseline"/>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010-66556010</w:t>
            </w:r>
          </w:p>
        </w:tc>
      </w:tr>
      <w:tr w14:paraId="050F85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787" w:type="pct"/>
            <w:vMerge w:val="continue"/>
            <w:noWrap w:val="0"/>
            <w:vAlign w:val="center"/>
          </w:tcPr>
          <w:p w14:paraId="71DAC861">
            <w:pPr>
              <w:keepNext w:val="0"/>
              <w:keepLines w:val="0"/>
              <w:pageBreakBefore w:val="0"/>
              <w:kinsoku/>
              <w:wordWrap/>
              <w:overflowPunct w:val="0"/>
              <w:topLinePunct w:val="0"/>
              <w:autoSpaceDE/>
              <w:autoSpaceDN/>
              <w:bidi w:val="0"/>
              <w:adjustRightInd w:val="0"/>
              <w:snapToGrid w:val="0"/>
              <w:spacing w:line="240" w:lineRule="auto"/>
              <w:ind w:firstLine="0" w:firstLineChars="0"/>
              <w:jc w:val="center"/>
              <w:textAlignment w:val="baseline"/>
              <w:rPr>
                <w:rFonts w:hint="default" w:ascii="Times New Roman" w:hAnsi="Times New Roman" w:eastAsia="仿宋" w:cs="Times New Roman"/>
                <w:color w:val="000000"/>
                <w:sz w:val="24"/>
                <w:szCs w:val="24"/>
              </w:rPr>
            </w:pPr>
          </w:p>
        </w:tc>
        <w:tc>
          <w:tcPr>
            <w:tcW w:w="2209" w:type="pct"/>
            <w:noWrap w:val="0"/>
            <w:vAlign w:val="center"/>
          </w:tcPr>
          <w:p w14:paraId="738C43B5">
            <w:pPr>
              <w:keepNext w:val="0"/>
              <w:keepLines w:val="0"/>
              <w:pageBreakBefore w:val="0"/>
              <w:kinsoku/>
              <w:wordWrap/>
              <w:overflowPunct w:val="0"/>
              <w:topLinePunct w:val="0"/>
              <w:autoSpaceDE/>
              <w:autoSpaceDN/>
              <w:bidi w:val="0"/>
              <w:adjustRightInd w:val="0"/>
              <w:snapToGrid w:val="0"/>
              <w:spacing w:line="240" w:lineRule="auto"/>
              <w:ind w:firstLine="0" w:firstLineChars="0"/>
              <w:jc w:val="center"/>
              <w:textAlignment w:val="baseline"/>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甘肃省生态环境厅</w:t>
            </w:r>
          </w:p>
        </w:tc>
        <w:tc>
          <w:tcPr>
            <w:tcW w:w="1001" w:type="pct"/>
            <w:noWrap w:val="0"/>
            <w:vAlign w:val="center"/>
          </w:tcPr>
          <w:p w14:paraId="6056C997">
            <w:pPr>
              <w:keepNext w:val="0"/>
              <w:keepLines w:val="0"/>
              <w:pageBreakBefore w:val="0"/>
              <w:kinsoku/>
              <w:wordWrap/>
              <w:overflowPunct w:val="0"/>
              <w:topLinePunct w:val="0"/>
              <w:autoSpaceDE/>
              <w:autoSpaceDN/>
              <w:bidi w:val="0"/>
              <w:adjustRightInd w:val="0"/>
              <w:snapToGrid w:val="0"/>
              <w:spacing w:line="240" w:lineRule="auto"/>
              <w:ind w:firstLine="0" w:firstLineChars="0"/>
              <w:jc w:val="center"/>
              <w:textAlignment w:val="baseline"/>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0931-8810309</w:t>
            </w:r>
          </w:p>
        </w:tc>
        <w:tc>
          <w:tcPr>
            <w:tcW w:w="1001" w:type="pct"/>
            <w:noWrap w:val="0"/>
            <w:vAlign w:val="center"/>
          </w:tcPr>
          <w:p w14:paraId="3CFFADF2">
            <w:pPr>
              <w:keepNext w:val="0"/>
              <w:keepLines w:val="0"/>
              <w:pageBreakBefore w:val="0"/>
              <w:kinsoku/>
              <w:wordWrap/>
              <w:overflowPunct w:val="0"/>
              <w:topLinePunct w:val="0"/>
              <w:autoSpaceDE/>
              <w:autoSpaceDN/>
              <w:bidi w:val="0"/>
              <w:adjustRightInd w:val="0"/>
              <w:snapToGrid w:val="0"/>
              <w:spacing w:line="240" w:lineRule="auto"/>
              <w:ind w:firstLine="0" w:firstLineChars="0"/>
              <w:jc w:val="center"/>
              <w:textAlignment w:val="baseline"/>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0931-8735587</w:t>
            </w:r>
          </w:p>
        </w:tc>
      </w:tr>
      <w:tr w14:paraId="254D6B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787" w:type="pct"/>
            <w:vMerge w:val="continue"/>
            <w:noWrap w:val="0"/>
            <w:vAlign w:val="center"/>
          </w:tcPr>
          <w:p w14:paraId="2978F2BB">
            <w:pPr>
              <w:keepNext w:val="0"/>
              <w:keepLines w:val="0"/>
              <w:pageBreakBefore w:val="0"/>
              <w:kinsoku/>
              <w:wordWrap/>
              <w:overflowPunct w:val="0"/>
              <w:topLinePunct w:val="0"/>
              <w:autoSpaceDE/>
              <w:autoSpaceDN/>
              <w:bidi w:val="0"/>
              <w:adjustRightInd w:val="0"/>
              <w:snapToGrid w:val="0"/>
              <w:spacing w:line="240" w:lineRule="auto"/>
              <w:ind w:firstLine="0" w:firstLineChars="0"/>
              <w:jc w:val="center"/>
              <w:textAlignment w:val="baseline"/>
              <w:rPr>
                <w:rFonts w:hint="default" w:ascii="Times New Roman" w:hAnsi="Times New Roman" w:eastAsia="仿宋" w:cs="Times New Roman"/>
                <w:color w:val="000000"/>
                <w:sz w:val="24"/>
                <w:szCs w:val="24"/>
              </w:rPr>
            </w:pPr>
          </w:p>
        </w:tc>
        <w:tc>
          <w:tcPr>
            <w:tcW w:w="2209" w:type="pct"/>
            <w:noWrap w:val="0"/>
            <w:vAlign w:val="center"/>
          </w:tcPr>
          <w:p w14:paraId="70C0AE0E">
            <w:pPr>
              <w:keepNext w:val="0"/>
              <w:keepLines w:val="0"/>
              <w:pageBreakBefore w:val="0"/>
              <w:kinsoku/>
              <w:wordWrap/>
              <w:overflowPunct w:val="0"/>
              <w:topLinePunct w:val="0"/>
              <w:autoSpaceDE/>
              <w:autoSpaceDN/>
              <w:bidi w:val="0"/>
              <w:adjustRightInd w:val="0"/>
              <w:snapToGrid w:val="0"/>
              <w:spacing w:line="240" w:lineRule="auto"/>
              <w:ind w:firstLine="0" w:firstLineChars="0"/>
              <w:jc w:val="center"/>
              <w:textAlignment w:val="baseline"/>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lang w:eastAsia="zh-CN"/>
              </w:rPr>
              <w:t>张掖市生态环境局</w:t>
            </w:r>
          </w:p>
        </w:tc>
        <w:tc>
          <w:tcPr>
            <w:tcW w:w="1001" w:type="pct"/>
            <w:noWrap w:val="0"/>
            <w:vAlign w:val="center"/>
          </w:tcPr>
          <w:p w14:paraId="1A38055B">
            <w:pPr>
              <w:keepNext w:val="0"/>
              <w:keepLines w:val="0"/>
              <w:pageBreakBefore w:val="0"/>
              <w:kinsoku/>
              <w:wordWrap/>
              <w:overflowPunct w:val="0"/>
              <w:topLinePunct w:val="0"/>
              <w:autoSpaceDE/>
              <w:autoSpaceDN/>
              <w:bidi w:val="0"/>
              <w:adjustRightInd w:val="0"/>
              <w:snapToGrid w:val="0"/>
              <w:spacing w:line="240" w:lineRule="auto"/>
              <w:ind w:firstLine="0" w:firstLineChars="0"/>
              <w:jc w:val="center"/>
              <w:textAlignment w:val="baseline"/>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0936-82782</w:t>
            </w:r>
            <w:r>
              <w:rPr>
                <w:rFonts w:hint="eastAsia" w:eastAsia="仿宋" w:cs="Times New Roman"/>
                <w:color w:val="000000"/>
                <w:sz w:val="24"/>
                <w:szCs w:val="24"/>
                <w:lang w:val="en-US" w:eastAsia="zh-CN"/>
              </w:rPr>
              <w:t>4</w:t>
            </w:r>
            <w:r>
              <w:rPr>
                <w:rFonts w:hint="default" w:ascii="Times New Roman" w:hAnsi="Times New Roman" w:eastAsia="仿宋" w:cs="Times New Roman"/>
                <w:color w:val="000000"/>
                <w:sz w:val="24"/>
                <w:szCs w:val="24"/>
              </w:rPr>
              <w:t>2</w:t>
            </w:r>
          </w:p>
        </w:tc>
        <w:tc>
          <w:tcPr>
            <w:tcW w:w="1001" w:type="pct"/>
            <w:noWrap w:val="0"/>
            <w:vAlign w:val="center"/>
          </w:tcPr>
          <w:p w14:paraId="5AE88A14">
            <w:pPr>
              <w:keepNext w:val="0"/>
              <w:keepLines w:val="0"/>
              <w:pageBreakBefore w:val="0"/>
              <w:kinsoku/>
              <w:wordWrap/>
              <w:overflowPunct w:val="0"/>
              <w:topLinePunct w:val="0"/>
              <w:autoSpaceDE/>
              <w:autoSpaceDN/>
              <w:bidi w:val="0"/>
              <w:adjustRightInd w:val="0"/>
              <w:snapToGrid w:val="0"/>
              <w:spacing w:line="240" w:lineRule="auto"/>
              <w:ind w:firstLine="0" w:firstLineChars="0"/>
              <w:jc w:val="center"/>
              <w:textAlignment w:val="baseline"/>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0936-82782</w:t>
            </w:r>
            <w:r>
              <w:rPr>
                <w:rFonts w:hint="eastAsia" w:eastAsia="仿宋" w:cs="Times New Roman"/>
                <w:color w:val="000000"/>
                <w:sz w:val="24"/>
                <w:szCs w:val="24"/>
                <w:lang w:val="en-US" w:eastAsia="zh-CN"/>
              </w:rPr>
              <w:t>3</w:t>
            </w:r>
            <w:r>
              <w:rPr>
                <w:rFonts w:hint="default" w:ascii="Times New Roman" w:hAnsi="Times New Roman" w:eastAsia="仿宋" w:cs="Times New Roman"/>
                <w:color w:val="000000"/>
                <w:sz w:val="24"/>
                <w:szCs w:val="24"/>
              </w:rPr>
              <w:t>2</w:t>
            </w:r>
          </w:p>
        </w:tc>
      </w:tr>
      <w:tr w14:paraId="0A6E97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787" w:type="pct"/>
            <w:vMerge w:val="continue"/>
            <w:noWrap w:val="0"/>
            <w:vAlign w:val="center"/>
          </w:tcPr>
          <w:p w14:paraId="6B97B4D9">
            <w:pPr>
              <w:keepNext w:val="0"/>
              <w:keepLines w:val="0"/>
              <w:pageBreakBefore w:val="0"/>
              <w:kinsoku/>
              <w:wordWrap/>
              <w:overflowPunct w:val="0"/>
              <w:topLinePunct w:val="0"/>
              <w:autoSpaceDE/>
              <w:autoSpaceDN/>
              <w:bidi w:val="0"/>
              <w:adjustRightInd w:val="0"/>
              <w:snapToGrid w:val="0"/>
              <w:spacing w:line="240" w:lineRule="auto"/>
              <w:ind w:firstLine="0" w:firstLineChars="0"/>
              <w:jc w:val="center"/>
              <w:textAlignment w:val="baseline"/>
              <w:rPr>
                <w:rFonts w:hint="default" w:ascii="Times New Roman" w:hAnsi="Times New Roman" w:eastAsia="仿宋" w:cs="Times New Roman"/>
                <w:color w:val="000000"/>
                <w:sz w:val="24"/>
                <w:szCs w:val="24"/>
              </w:rPr>
            </w:pPr>
          </w:p>
        </w:tc>
        <w:tc>
          <w:tcPr>
            <w:tcW w:w="2209" w:type="pct"/>
            <w:noWrap w:val="0"/>
            <w:vAlign w:val="center"/>
          </w:tcPr>
          <w:p w14:paraId="29AD1512">
            <w:pPr>
              <w:keepNext w:val="0"/>
              <w:keepLines w:val="0"/>
              <w:pageBreakBefore w:val="0"/>
              <w:kinsoku/>
              <w:wordWrap/>
              <w:overflowPunct w:val="0"/>
              <w:topLinePunct w:val="0"/>
              <w:autoSpaceDE/>
              <w:autoSpaceDN/>
              <w:bidi w:val="0"/>
              <w:adjustRightInd w:val="0"/>
              <w:snapToGrid w:val="0"/>
              <w:spacing w:line="240" w:lineRule="auto"/>
              <w:ind w:firstLine="0" w:firstLineChars="0"/>
              <w:jc w:val="center"/>
              <w:textAlignment w:val="baseline"/>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甘肃省张掖生态环境监测中心</w:t>
            </w:r>
          </w:p>
        </w:tc>
        <w:tc>
          <w:tcPr>
            <w:tcW w:w="1001" w:type="pct"/>
            <w:noWrap w:val="0"/>
            <w:vAlign w:val="center"/>
          </w:tcPr>
          <w:p w14:paraId="2E998063">
            <w:pPr>
              <w:keepNext w:val="0"/>
              <w:keepLines w:val="0"/>
              <w:pageBreakBefore w:val="0"/>
              <w:kinsoku/>
              <w:wordWrap/>
              <w:overflowPunct w:val="0"/>
              <w:topLinePunct w:val="0"/>
              <w:autoSpaceDE/>
              <w:autoSpaceDN/>
              <w:bidi w:val="0"/>
              <w:adjustRightInd w:val="0"/>
              <w:snapToGrid w:val="0"/>
              <w:spacing w:line="240" w:lineRule="auto"/>
              <w:ind w:firstLine="0" w:firstLineChars="0"/>
              <w:jc w:val="center"/>
              <w:textAlignment w:val="baseline"/>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0936-8278215</w:t>
            </w:r>
          </w:p>
        </w:tc>
        <w:tc>
          <w:tcPr>
            <w:tcW w:w="1001" w:type="pct"/>
            <w:noWrap w:val="0"/>
            <w:vAlign w:val="center"/>
          </w:tcPr>
          <w:p w14:paraId="05131811">
            <w:pPr>
              <w:keepNext w:val="0"/>
              <w:keepLines w:val="0"/>
              <w:pageBreakBefore w:val="0"/>
              <w:kinsoku/>
              <w:wordWrap/>
              <w:overflowPunct w:val="0"/>
              <w:topLinePunct w:val="0"/>
              <w:autoSpaceDE/>
              <w:autoSpaceDN/>
              <w:bidi w:val="0"/>
              <w:adjustRightInd w:val="0"/>
              <w:snapToGrid w:val="0"/>
              <w:spacing w:line="240" w:lineRule="auto"/>
              <w:ind w:firstLine="0" w:firstLineChars="0"/>
              <w:jc w:val="center"/>
              <w:textAlignment w:val="baseline"/>
              <w:rPr>
                <w:rFonts w:hint="eastAsia" w:ascii="Times New Roman" w:hAnsi="Times New Roman" w:eastAsia="仿宋" w:cs="Times New Roman"/>
                <w:color w:val="000000"/>
                <w:sz w:val="24"/>
                <w:szCs w:val="24"/>
                <w:lang w:val="en-US" w:eastAsia="zh-CN"/>
              </w:rPr>
            </w:pPr>
            <w:r>
              <w:rPr>
                <w:rFonts w:hint="eastAsia" w:eastAsia="仿宋" w:cs="Times New Roman"/>
                <w:color w:val="000000"/>
                <w:sz w:val="24"/>
                <w:szCs w:val="24"/>
                <w:lang w:val="en-US" w:eastAsia="zh-CN"/>
              </w:rPr>
              <w:t>/</w:t>
            </w:r>
          </w:p>
        </w:tc>
      </w:tr>
      <w:tr w14:paraId="038707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787" w:type="pct"/>
            <w:vMerge w:val="continue"/>
            <w:noWrap w:val="0"/>
            <w:vAlign w:val="center"/>
          </w:tcPr>
          <w:p w14:paraId="35B8C8D1">
            <w:pPr>
              <w:keepNext w:val="0"/>
              <w:keepLines w:val="0"/>
              <w:pageBreakBefore w:val="0"/>
              <w:kinsoku/>
              <w:wordWrap/>
              <w:overflowPunct w:val="0"/>
              <w:topLinePunct w:val="0"/>
              <w:autoSpaceDE/>
              <w:autoSpaceDN/>
              <w:bidi w:val="0"/>
              <w:adjustRightInd w:val="0"/>
              <w:snapToGrid w:val="0"/>
              <w:spacing w:line="240" w:lineRule="auto"/>
              <w:ind w:firstLine="0" w:firstLineChars="0"/>
              <w:jc w:val="center"/>
              <w:textAlignment w:val="baseline"/>
              <w:rPr>
                <w:rFonts w:hint="default" w:ascii="Times New Roman" w:hAnsi="Times New Roman" w:eastAsia="仿宋" w:cs="Times New Roman"/>
                <w:color w:val="000000"/>
                <w:sz w:val="24"/>
                <w:szCs w:val="24"/>
              </w:rPr>
            </w:pPr>
          </w:p>
        </w:tc>
        <w:tc>
          <w:tcPr>
            <w:tcW w:w="2209" w:type="pct"/>
            <w:noWrap w:val="0"/>
            <w:vAlign w:val="center"/>
          </w:tcPr>
          <w:p w14:paraId="0ECA524D">
            <w:pPr>
              <w:keepNext w:val="0"/>
              <w:keepLines w:val="0"/>
              <w:pageBreakBefore w:val="0"/>
              <w:kinsoku/>
              <w:wordWrap/>
              <w:overflowPunct w:val="0"/>
              <w:topLinePunct w:val="0"/>
              <w:autoSpaceDE/>
              <w:autoSpaceDN/>
              <w:bidi w:val="0"/>
              <w:adjustRightInd w:val="0"/>
              <w:snapToGrid w:val="0"/>
              <w:spacing w:line="240" w:lineRule="auto"/>
              <w:ind w:firstLine="0" w:firstLineChars="0"/>
              <w:jc w:val="center"/>
              <w:textAlignment w:val="baseline"/>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生态环境部应急办</w:t>
            </w:r>
          </w:p>
        </w:tc>
        <w:tc>
          <w:tcPr>
            <w:tcW w:w="1001" w:type="pct"/>
            <w:noWrap w:val="0"/>
            <w:vAlign w:val="center"/>
          </w:tcPr>
          <w:p w14:paraId="2D5D5F64">
            <w:pPr>
              <w:keepNext w:val="0"/>
              <w:keepLines w:val="0"/>
              <w:pageBreakBefore w:val="0"/>
              <w:kinsoku/>
              <w:wordWrap/>
              <w:overflowPunct w:val="0"/>
              <w:topLinePunct w:val="0"/>
              <w:autoSpaceDE/>
              <w:autoSpaceDN/>
              <w:bidi w:val="0"/>
              <w:adjustRightInd w:val="0"/>
              <w:snapToGrid w:val="0"/>
              <w:spacing w:line="240" w:lineRule="auto"/>
              <w:ind w:firstLine="0" w:firstLineChars="0"/>
              <w:jc w:val="center"/>
              <w:textAlignment w:val="baseline"/>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010-66556468</w:t>
            </w:r>
          </w:p>
        </w:tc>
        <w:tc>
          <w:tcPr>
            <w:tcW w:w="1001" w:type="pct"/>
            <w:noWrap w:val="0"/>
            <w:vAlign w:val="center"/>
          </w:tcPr>
          <w:p w14:paraId="302AECB9">
            <w:pPr>
              <w:keepNext w:val="0"/>
              <w:keepLines w:val="0"/>
              <w:pageBreakBefore w:val="0"/>
              <w:kinsoku/>
              <w:wordWrap/>
              <w:overflowPunct w:val="0"/>
              <w:topLinePunct w:val="0"/>
              <w:autoSpaceDE/>
              <w:autoSpaceDN/>
              <w:bidi w:val="0"/>
              <w:adjustRightInd w:val="0"/>
              <w:snapToGrid w:val="0"/>
              <w:spacing w:line="240" w:lineRule="auto"/>
              <w:ind w:firstLine="0" w:firstLineChars="0"/>
              <w:jc w:val="center"/>
              <w:textAlignment w:val="baseline"/>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010-66556454</w:t>
            </w:r>
          </w:p>
        </w:tc>
      </w:tr>
      <w:tr w14:paraId="7EF6E1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787" w:type="pct"/>
            <w:vMerge w:val="continue"/>
            <w:noWrap w:val="0"/>
            <w:vAlign w:val="center"/>
          </w:tcPr>
          <w:p w14:paraId="469115BD">
            <w:pPr>
              <w:keepNext w:val="0"/>
              <w:keepLines w:val="0"/>
              <w:pageBreakBefore w:val="0"/>
              <w:kinsoku/>
              <w:wordWrap/>
              <w:overflowPunct w:val="0"/>
              <w:topLinePunct w:val="0"/>
              <w:autoSpaceDE/>
              <w:autoSpaceDN/>
              <w:bidi w:val="0"/>
              <w:adjustRightInd w:val="0"/>
              <w:snapToGrid w:val="0"/>
              <w:spacing w:line="240" w:lineRule="auto"/>
              <w:ind w:firstLine="0" w:firstLineChars="0"/>
              <w:jc w:val="center"/>
              <w:textAlignment w:val="baseline"/>
              <w:rPr>
                <w:rFonts w:hint="default" w:ascii="Times New Roman" w:hAnsi="Times New Roman" w:eastAsia="仿宋" w:cs="Times New Roman"/>
                <w:color w:val="000000"/>
                <w:sz w:val="24"/>
                <w:szCs w:val="24"/>
              </w:rPr>
            </w:pPr>
          </w:p>
        </w:tc>
        <w:tc>
          <w:tcPr>
            <w:tcW w:w="2209" w:type="pct"/>
            <w:noWrap w:val="0"/>
            <w:vAlign w:val="center"/>
          </w:tcPr>
          <w:p w14:paraId="09D4CCDF">
            <w:pPr>
              <w:keepNext w:val="0"/>
              <w:keepLines w:val="0"/>
              <w:pageBreakBefore w:val="0"/>
              <w:kinsoku/>
              <w:wordWrap/>
              <w:overflowPunct w:val="0"/>
              <w:topLinePunct w:val="0"/>
              <w:autoSpaceDE/>
              <w:autoSpaceDN/>
              <w:bidi w:val="0"/>
              <w:adjustRightInd w:val="0"/>
              <w:snapToGrid w:val="0"/>
              <w:spacing w:line="240" w:lineRule="auto"/>
              <w:ind w:firstLine="0" w:firstLineChars="0"/>
              <w:jc w:val="center"/>
              <w:textAlignment w:val="baseline"/>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甘肃省政府应急办</w:t>
            </w:r>
          </w:p>
        </w:tc>
        <w:tc>
          <w:tcPr>
            <w:tcW w:w="1001" w:type="pct"/>
            <w:noWrap w:val="0"/>
            <w:vAlign w:val="center"/>
          </w:tcPr>
          <w:p w14:paraId="7C882292">
            <w:pPr>
              <w:keepNext w:val="0"/>
              <w:keepLines w:val="0"/>
              <w:pageBreakBefore w:val="0"/>
              <w:kinsoku/>
              <w:wordWrap/>
              <w:overflowPunct w:val="0"/>
              <w:topLinePunct w:val="0"/>
              <w:autoSpaceDE/>
              <w:autoSpaceDN/>
              <w:bidi w:val="0"/>
              <w:adjustRightInd w:val="0"/>
              <w:snapToGrid w:val="0"/>
              <w:spacing w:line="240" w:lineRule="auto"/>
              <w:ind w:firstLine="0" w:firstLineChars="0"/>
              <w:jc w:val="center"/>
              <w:textAlignment w:val="baseline"/>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0931-8462630</w:t>
            </w:r>
          </w:p>
        </w:tc>
        <w:tc>
          <w:tcPr>
            <w:tcW w:w="1001" w:type="pct"/>
            <w:noWrap w:val="0"/>
            <w:vAlign w:val="center"/>
          </w:tcPr>
          <w:p w14:paraId="06CA21DC">
            <w:pPr>
              <w:keepNext w:val="0"/>
              <w:keepLines w:val="0"/>
              <w:pageBreakBefore w:val="0"/>
              <w:kinsoku/>
              <w:wordWrap/>
              <w:overflowPunct w:val="0"/>
              <w:topLinePunct w:val="0"/>
              <w:autoSpaceDE/>
              <w:autoSpaceDN/>
              <w:bidi w:val="0"/>
              <w:adjustRightInd w:val="0"/>
              <w:snapToGrid w:val="0"/>
              <w:spacing w:line="240" w:lineRule="auto"/>
              <w:ind w:firstLine="0" w:firstLineChars="0"/>
              <w:jc w:val="center"/>
              <w:textAlignment w:val="baseline"/>
              <w:rPr>
                <w:rFonts w:hint="default" w:ascii="Times New Roman" w:hAnsi="Times New Roman" w:eastAsia="仿宋" w:cs="Times New Roman"/>
                <w:color w:val="000000"/>
                <w:sz w:val="24"/>
                <w:szCs w:val="24"/>
                <w:lang w:val="en-US" w:eastAsia="zh-CN"/>
              </w:rPr>
            </w:pPr>
            <w:r>
              <w:rPr>
                <w:rFonts w:hint="default" w:ascii="Times New Roman" w:hAnsi="Times New Roman" w:eastAsia="仿宋" w:cs="Times New Roman"/>
                <w:color w:val="000000"/>
                <w:sz w:val="24"/>
                <w:szCs w:val="24"/>
              </w:rPr>
              <w:t>0931-8465489</w:t>
            </w:r>
          </w:p>
        </w:tc>
      </w:tr>
      <w:tr w14:paraId="2D27CC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787" w:type="pct"/>
            <w:vMerge w:val="restart"/>
            <w:noWrap w:val="0"/>
            <w:vAlign w:val="center"/>
          </w:tcPr>
          <w:p w14:paraId="694C36D2">
            <w:pPr>
              <w:keepNext w:val="0"/>
              <w:keepLines w:val="0"/>
              <w:pageBreakBefore w:val="0"/>
              <w:kinsoku/>
              <w:wordWrap/>
              <w:overflowPunct w:val="0"/>
              <w:topLinePunct w:val="0"/>
              <w:autoSpaceDE/>
              <w:autoSpaceDN/>
              <w:bidi w:val="0"/>
              <w:adjustRightInd w:val="0"/>
              <w:snapToGrid w:val="0"/>
              <w:spacing w:line="240" w:lineRule="auto"/>
              <w:ind w:firstLine="0" w:firstLineChars="0"/>
              <w:jc w:val="center"/>
              <w:textAlignment w:val="baseline"/>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lang w:val="en-US" w:eastAsia="zh-CN"/>
              </w:rPr>
              <w:t>应急</w:t>
            </w:r>
            <w:r>
              <w:rPr>
                <w:rFonts w:hint="default" w:ascii="Times New Roman" w:hAnsi="Times New Roman" w:eastAsia="仿宋" w:cs="Times New Roman"/>
                <w:color w:val="000000"/>
                <w:sz w:val="24"/>
                <w:szCs w:val="24"/>
              </w:rPr>
              <w:t>部门</w:t>
            </w:r>
          </w:p>
        </w:tc>
        <w:tc>
          <w:tcPr>
            <w:tcW w:w="2209" w:type="pct"/>
            <w:noWrap w:val="0"/>
            <w:vAlign w:val="center"/>
          </w:tcPr>
          <w:p w14:paraId="288768BA">
            <w:pPr>
              <w:keepNext w:val="0"/>
              <w:keepLines w:val="0"/>
              <w:pageBreakBefore w:val="0"/>
              <w:kinsoku/>
              <w:wordWrap/>
              <w:overflowPunct w:val="0"/>
              <w:topLinePunct w:val="0"/>
              <w:autoSpaceDE/>
              <w:autoSpaceDN/>
              <w:bidi w:val="0"/>
              <w:adjustRightInd w:val="0"/>
              <w:snapToGrid w:val="0"/>
              <w:spacing w:line="240" w:lineRule="auto"/>
              <w:ind w:firstLine="0" w:firstLineChars="0"/>
              <w:jc w:val="center"/>
              <w:textAlignment w:val="baseline"/>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甘肃省应急管理厅</w:t>
            </w:r>
          </w:p>
        </w:tc>
        <w:tc>
          <w:tcPr>
            <w:tcW w:w="1001" w:type="pct"/>
            <w:noWrap w:val="0"/>
            <w:vAlign w:val="center"/>
          </w:tcPr>
          <w:p w14:paraId="31A3D1BF">
            <w:pPr>
              <w:keepNext w:val="0"/>
              <w:keepLines w:val="0"/>
              <w:widowControl/>
              <w:suppressLineNumbers w:val="0"/>
              <w:jc w:val="center"/>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lang w:val="en-US" w:eastAsia="zh-CN"/>
              </w:rPr>
              <w:t>0931-8635363</w:t>
            </w:r>
          </w:p>
        </w:tc>
        <w:tc>
          <w:tcPr>
            <w:tcW w:w="1001" w:type="pct"/>
            <w:noWrap w:val="0"/>
            <w:vAlign w:val="center"/>
          </w:tcPr>
          <w:p w14:paraId="047D48A0">
            <w:pPr>
              <w:keepNext w:val="0"/>
              <w:keepLines w:val="0"/>
              <w:pageBreakBefore w:val="0"/>
              <w:kinsoku/>
              <w:wordWrap/>
              <w:overflowPunct w:val="0"/>
              <w:topLinePunct w:val="0"/>
              <w:autoSpaceDE/>
              <w:autoSpaceDN/>
              <w:bidi w:val="0"/>
              <w:adjustRightInd w:val="0"/>
              <w:snapToGrid w:val="0"/>
              <w:spacing w:line="240" w:lineRule="auto"/>
              <w:ind w:firstLine="0" w:firstLineChars="0"/>
              <w:jc w:val="center"/>
              <w:textAlignment w:val="baseline"/>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lang w:val="en-US" w:eastAsia="zh-CN"/>
              </w:rPr>
              <w:t>/</w:t>
            </w:r>
          </w:p>
        </w:tc>
      </w:tr>
      <w:tr w14:paraId="032202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787" w:type="pct"/>
            <w:vMerge w:val="continue"/>
            <w:noWrap w:val="0"/>
            <w:vAlign w:val="center"/>
          </w:tcPr>
          <w:p w14:paraId="46376968">
            <w:pPr>
              <w:keepNext w:val="0"/>
              <w:keepLines w:val="0"/>
              <w:pageBreakBefore w:val="0"/>
              <w:kinsoku/>
              <w:wordWrap/>
              <w:overflowPunct w:val="0"/>
              <w:topLinePunct w:val="0"/>
              <w:autoSpaceDE/>
              <w:autoSpaceDN/>
              <w:bidi w:val="0"/>
              <w:adjustRightInd w:val="0"/>
              <w:snapToGrid w:val="0"/>
              <w:spacing w:line="240" w:lineRule="auto"/>
              <w:ind w:firstLine="0" w:firstLineChars="0"/>
              <w:jc w:val="center"/>
              <w:textAlignment w:val="baseline"/>
              <w:rPr>
                <w:rFonts w:hint="default" w:ascii="Times New Roman" w:hAnsi="Times New Roman" w:eastAsia="仿宋" w:cs="Times New Roman"/>
                <w:color w:val="000000"/>
                <w:sz w:val="24"/>
                <w:szCs w:val="24"/>
                <w:lang w:val="en-US" w:eastAsia="zh-CN"/>
              </w:rPr>
            </w:pPr>
          </w:p>
        </w:tc>
        <w:tc>
          <w:tcPr>
            <w:tcW w:w="2209" w:type="pct"/>
            <w:noWrap w:val="0"/>
            <w:vAlign w:val="center"/>
          </w:tcPr>
          <w:p w14:paraId="5ABF6786">
            <w:pPr>
              <w:keepNext w:val="0"/>
              <w:keepLines w:val="0"/>
              <w:pageBreakBefore w:val="0"/>
              <w:kinsoku/>
              <w:wordWrap/>
              <w:overflowPunct w:val="0"/>
              <w:topLinePunct w:val="0"/>
              <w:autoSpaceDE/>
              <w:autoSpaceDN/>
              <w:bidi w:val="0"/>
              <w:adjustRightInd w:val="0"/>
              <w:snapToGrid w:val="0"/>
              <w:spacing w:line="240" w:lineRule="auto"/>
              <w:ind w:firstLine="0" w:firstLineChars="0"/>
              <w:jc w:val="center"/>
              <w:textAlignment w:val="baseline"/>
              <w:rPr>
                <w:rFonts w:hint="eastAsia" w:ascii="Times New Roman" w:hAnsi="Times New Roman" w:eastAsia="仿宋" w:cs="Times New Roman"/>
                <w:color w:val="000000"/>
                <w:sz w:val="24"/>
                <w:szCs w:val="24"/>
                <w:lang w:eastAsia="zh-CN"/>
              </w:rPr>
            </w:pPr>
            <w:r>
              <w:rPr>
                <w:rFonts w:hint="default" w:ascii="Times New Roman" w:hAnsi="Times New Roman" w:eastAsia="仿宋" w:cs="Times New Roman"/>
                <w:color w:val="000000"/>
                <w:sz w:val="24"/>
                <w:szCs w:val="24"/>
                <w:lang w:eastAsia="zh-CN"/>
              </w:rPr>
              <w:t>张掖</w:t>
            </w:r>
            <w:r>
              <w:rPr>
                <w:rFonts w:hint="default" w:ascii="Times New Roman" w:hAnsi="Times New Roman" w:eastAsia="仿宋" w:cs="Times New Roman"/>
                <w:color w:val="000000"/>
                <w:sz w:val="24"/>
                <w:szCs w:val="24"/>
              </w:rPr>
              <w:t>市</w:t>
            </w:r>
            <w:r>
              <w:rPr>
                <w:rFonts w:hint="eastAsia" w:ascii="Times New Roman" w:hAnsi="Times New Roman" w:eastAsia="仿宋" w:cs="Times New Roman"/>
                <w:color w:val="000000"/>
                <w:sz w:val="24"/>
                <w:szCs w:val="24"/>
                <w:lang w:eastAsia="zh-CN"/>
              </w:rPr>
              <w:t>应急局</w:t>
            </w:r>
          </w:p>
        </w:tc>
        <w:tc>
          <w:tcPr>
            <w:tcW w:w="1001" w:type="pct"/>
            <w:noWrap w:val="0"/>
            <w:vAlign w:val="center"/>
          </w:tcPr>
          <w:p w14:paraId="0C97EFD4">
            <w:pPr>
              <w:keepNext w:val="0"/>
              <w:keepLines w:val="0"/>
              <w:pageBreakBefore w:val="0"/>
              <w:kinsoku/>
              <w:wordWrap/>
              <w:overflowPunct w:val="0"/>
              <w:topLinePunct w:val="0"/>
              <w:autoSpaceDE/>
              <w:autoSpaceDN/>
              <w:bidi w:val="0"/>
              <w:adjustRightInd w:val="0"/>
              <w:snapToGrid w:val="0"/>
              <w:spacing w:line="240" w:lineRule="auto"/>
              <w:ind w:firstLine="0" w:firstLineChars="0"/>
              <w:jc w:val="center"/>
              <w:textAlignment w:val="baseline"/>
              <w:rPr>
                <w:rFonts w:hint="default" w:ascii="Times New Roman" w:hAnsi="Times New Roman" w:eastAsia="仿宋" w:cs="Times New Roman"/>
                <w:color w:val="000000"/>
                <w:sz w:val="24"/>
                <w:szCs w:val="24"/>
                <w:lang w:val="en-US" w:eastAsia="zh-CN"/>
              </w:rPr>
            </w:pPr>
            <w:r>
              <w:rPr>
                <w:rFonts w:hint="default" w:ascii="Times New Roman" w:hAnsi="Times New Roman" w:eastAsia="仿宋" w:cs="Times New Roman"/>
                <w:color w:val="000000"/>
                <w:sz w:val="24"/>
                <w:szCs w:val="24"/>
              </w:rPr>
              <w:t>0936-821</w:t>
            </w:r>
            <w:r>
              <w:rPr>
                <w:rFonts w:hint="eastAsia" w:eastAsia="仿宋" w:cs="Times New Roman"/>
                <w:color w:val="000000"/>
                <w:sz w:val="24"/>
                <w:szCs w:val="24"/>
                <w:lang w:val="en-US" w:eastAsia="zh-CN"/>
              </w:rPr>
              <w:t>5311</w:t>
            </w:r>
          </w:p>
        </w:tc>
        <w:tc>
          <w:tcPr>
            <w:tcW w:w="1001" w:type="pct"/>
            <w:noWrap w:val="0"/>
            <w:vAlign w:val="center"/>
          </w:tcPr>
          <w:p w14:paraId="26CCAE1D">
            <w:pPr>
              <w:keepNext w:val="0"/>
              <w:keepLines w:val="0"/>
              <w:pageBreakBefore w:val="0"/>
              <w:kinsoku/>
              <w:wordWrap/>
              <w:overflowPunct w:val="0"/>
              <w:topLinePunct w:val="0"/>
              <w:autoSpaceDE/>
              <w:autoSpaceDN/>
              <w:bidi w:val="0"/>
              <w:adjustRightInd w:val="0"/>
              <w:snapToGrid w:val="0"/>
              <w:spacing w:line="240" w:lineRule="auto"/>
              <w:ind w:firstLine="0" w:firstLineChars="0"/>
              <w:jc w:val="center"/>
              <w:textAlignment w:val="baseline"/>
              <w:rPr>
                <w:rFonts w:hint="default" w:ascii="Times New Roman" w:hAnsi="Times New Roman" w:eastAsia="仿宋" w:cs="Times New Roman"/>
                <w:color w:val="000000"/>
                <w:sz w:val="24"/>
                <w:szCs w:val="24"/>
                <w:lang w:val="en-US" w:eastAsia="zh-CN"/>
              </w:rPr>
            </w:pPr>
            <w:r>
              <w:rPr>
                <w:rFonts w:hint="default" w:ascii="Times New Roman" w:hAnsi="Times New Roman" w:eastAsia="仿宋" w:cs="Times New Roman"/>
                <w:color w:val="000000"/>
                <w:sz w:val="24"/>
                <w:szCs w:val="24"/>
              </w:rPr>
              <w:t>0936-8</w:t>
            </w:r>
            <w:r>
              <w:rPr>
                <w:rFonts w:hint="eastAsia" w:eastAsia="仿宋" w:cs="Times New Roman"/>
                <w:color w:val="000000"/>
                <w:sz w:val="24"/>
                <w:szCs w:val="24"/>
                <w:lang w:val="en-US" w:eastAsia="zh-CN"/>
              </w:rPr>
              <w:t>215318</w:t>
            </w:r>
          </w:p>
        </w:tc>
      </w:tr>
      <w:tr w14:paraId="262A18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787" w:type="pct"/>
            <w:noWrap w:val="0"/>
            <w:vAlign w:val="center"/>
          </w:tcPr>
          <w:p w14:paraId="4565AF52">
            <w:pPr>
              <w:keepNext w:val="0"/>
              <w:keepLines w:val="0"/>
              <w:pageBreakBefore w:val="0"/>
              <w:kinsoku/>
              <w:wordWrap/>
              <w:overflowPunct w:val="0"/>
              <w:topLinePunct w:val="0"/>
              <w:autoSpaceDE/>
              <w:autoSpaceDN/>
              <w:bidi w:val="0"/>
              <w:adjustRightInd w:val="0"/>
              <w:snapToGrid w:val="0"/>
              <w:spacing w:line="240" w:lineRule="auto"/>
              <w:ind w:firstLine="0" w:firstLineChars="0"/>
              <w:jc w:val="center"/>
              <w:textAlignment w:val="baseline"/>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政府办公室</w:t>
            </w:r>
          </w:p>
        </w:tc>
        <w:tc>
          <w:tcPr>
            <w:tcW w:w="2209" w:type="pct"/>
            <w:noWrap w:val="0"/>
            <w:vAlign w:val="center"/>
          </w:tcPr>
          <w:p w14:paraId="7387BDC2">
            <w:pPr>
              <w:keepNext w:val="0"/>
              <w:keepLines w:val="0"/>
              <w:pageBreakBefore w:val="0"/>
              <w:kinsoku/>
              <w:wordWrap/>
              <w:overflowPunct w:val="0"/>
              <w:topLinePunct w:val="0"/>
              <w:autoSpaceDE/>
              <w:autoSpaceDN/>
              <w:bidi w:val="0"/>
              <w:adjustRightInd w:val="0"/>
              <w:snapToGrid w:val="0"/>
              <w:spacing w:line="240" w:lineRule="auto"/>
              <w:ind w:firstLine="0" w:firstLineChars="0"/>
              <w:jc w:val="center"/>
              <w:textAlignment w:val="baseline"/>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lang w:val="en-US" w:eastAsia="zh-CN"/>
              </w:rPr>
              <w:t>张掖</w:t>
            </w:r>
            <w:r>
              <w:rPr>
                <w:rFonts w:hint="default" w:ascii="Times New Roman" w:hAnsi="Times New Roman" w:eastAsia="仿宋" w:cs="Times New Roman"/>
                <w:color w:val="000000"/>
                <w:sz w:val="24"/>
                <w:szCs w:val="24"/>
                <w:lang w:eastAsia="zh-CN"/>
              </w:rPr>
              <w:t>市委市政府总值班室</w:t>
            </w:r>
          </w:p>
        </w:tc>
        <w:tc>
          <w:tcPr>
            <w:tcW w:w="1001" w:type="pct"/>
            <w:noWrap w:val="0"/>
            <w:vAlign w:val="center"/>
          </w:tcPr>
          <w:p w14:paraId="08566AB8">
            <w:pPr>
              <w:keepNext w:val="0"/>
              <w:keepLines w:val="0"/>
              <w:pageBreakBefore w:val="0"/>
              <w:kinsoku/>
              <w:wordWrap/>
              <w:overflowPunct w:val="0"/>
              <w:topLinePunct w:val="0"/>
              <w:autoSpaceDE/>
              <w:autoSpaceDN/>
              <w:bidi w:val="0"/>
              <w:adjustRightInd w:val="0"/>
              <w:snapToGrid w:val="0"/>
              <w:spacing w:line="240" w:lineRule="auto"/>
              <w:ind w:firstLine="0" w:firstLineChars="0"/>
              <w:jc w:val="center"/>
              <w:textAlignment w:val="baseline"/>
              <w:rPr>
                <w:rFonts w:hint="default" w:ascii="Times New Roman" w:hAnsi="Times New Roman" w:eastAsia="仿宋" w:cs="Times New Roman"/>
                <w:color w:val="000000"/>
                <w:sz w:val="24"/>
                <w:szCs w:val="24"/>
                <w:lang w:val="en-US" w:eastAsia="zh-CN"/>
              </w:rPr>
            </w:pPr>
            <w:r>
              <w:rPr>
                <w:rFonts w:hint="default" w:ascii="Times New Roman" w:hAnsi="Times New Roman" w:eastAsia="仿宋" w:cs="Times New Roman"/>
                <w:color w:val="000000"/>
                <w:sz w:val="24"/>
                <w:szCs w:val="24"/>
                <w:lang w:eastAsia="zh-CN"/>
              </w:rPr>
              <w:t>0936-8224661</w:t>
            </w:r>
          </w:p>
        </w:tc>
        <w:tc>
          <w:tcPr>
            <w:tcW w:w="1001" w:type="pct"/>
            <w:noWrap w:val="0"/>
            <w:vAlign w:val="center"/>
          </w:tcPr>
          <w:p w14:paraId="386565CD">
            <w:pPr>
              <w:keepNext w:val="0"/>
              <w:keepLines w:val="0"/>
              <w:pageBreakBefore w:val="0"/>
              <w:kinsoku/>
              <w:wordWrap/>
              <w:overflowPunct w:val="0"/>
              <w:topLinePunct w:val="0"/>
              <w:autoSpaceDE/>
              <w:autoSpaceDN/>
              <w:bidi w:val="0"/>
              <w:adjustRightInd w:val="0"/>
              <w:snapToGrid w:val="0"/>
              <w:spacing w:line="240" w:lineRule="auto"/>
              <w:ind w:firstLine="0" w:firstLineChars="0"/>
              <w:jc w:val="center"/>
              <w:textAlignment w:val="baseline"/>
              <w:rPr>
                <w:rFonts w:hint="default" w:ascii="Times New Roman" w:hAnsi="Times New Roman" w:eastAsia="仿宋" w:cs="Times New Roman"/>
                <w:color w:val="000000"/>
                <w:sz w:val="24"/>
                <w:szCs w:val="24"/>
              </w:rPr>
            </w:pPr>
            <w:r>
              <w:rPr>
                <w:rFonts w:hint="eastAsia" w:eastAsia="仿宋" w:cs="Times New Roman"/>
                <w:color w:val="000000"/>
                <w:sz w:val="24"/>
                <w:szCs w:val="24"/>
                <w:lang w:val="en-US" w:eastAsia="zh-CN"/>
              </w:rPr>
              <w:t>/</w:t>
            </w:r>
          </w:p>
        </w:tc>
      </w:tr>
      <w:tr w14:paraId="1AEC76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787" w:type="pct"/>
            <w:noWrap w:val="0"/>
            <w:vAlign w:val="center"/>
          </w:tcPr>
          <w:p w14:paraId="77F3D4CC">
            <w:pPr>
              <w:keepNext w:val="0"/>
              <w:keepLines w:val="0"/>
              <w:pageBreakBefore w:val="0"/>
              <w:kinsoku/>
              <w:wordWrap/>
              <w:overflowPunct w:val="0"/>
              <w:topLinePunct w:val="0"/>
              <w:autoSpaceDE/>
              <w:autoSpaceDN/>
              <w:bidi w:val="0"/>
              <w:adjustRightInd w:val="0"/>
              <w:snapToGrid w:val="0"/>
              <w:spacing w:line="240" w:lineRule="auto"/>
              <w:ind w:firstLine="0" w:firstLineChars="0"/>
              <w:jc w:val="center"/>
              <w:textAlignment w:val="baseline"/>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公安</w:t>
            </w:r>
          </w:p>
        </w:tc>
        <w:tc>
          <w:tcPr>
            <w:tcW w:w="2209" w:type="pct"/>
            <w:noWrap w:val="0"/>
            <w:vAlign w:val="center"/>
          </w:tcPr>
          <w:p w14:paraId="14D6E675">
            <w:pPr>
              <w:keepNext w:val="0"/>
              <w:keepLines w:val="0"/>
              <w:pageBreakBefore w:val="0"/>
              <w:kinsoku/>
              <w:wordWrap/>
              <w:overflowPunct w:val="0"/>
              <w:topLinePunct w:val="0"/>
              <w:autoSpaceDE/>
              <w:autoSpaceDN/>
              <w:bidi w:val="0"/>
              <w:adjustRightInd w:val="0"/>
              <w:snapToGrid w:val="0"/>
              <w:spacing w:line="240" w:lineRule="auto"/>
              <w:ind w:firstLine="0" w:firstLineChars="0"/>
              <w:jc w:val="center"/>
              <w:textAlignment w:val="baseline"/>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w:t>
            </w:r>
          </w:p>
        </w:tc>
        <w:tc>
          <w:tcPr>
            <w:tcW w:w="1001" w:type="pct"/>
            <w:noWrap w:val="0"/>
            <w:vAlign w:val="center"/>
          </w:tcPr>
          <w:p w14:paraId="4386B0DA">
            <w:pPr>
              <w:keepNext w:val="0"/>
              <w:keepLines w:val="0"/>
              <w:pageBreakBefore w:val="0"/>
              <w:kinsoku/>
              <w:wordWrap/>
              <w:overflowPunct w:val="0"/>
              <w:topLinePunct w:val="0"/>
              <w:autoSpaceDE/>
              <w:autoSpaceDN/>
              <w:bidi w:val="0"/>
              <w:adjustRightInd w:val="0"/>
              <w:snapToGrid w:val="0"/>
              <w:spacing w:line="240" w:lineRule="auto"/>
              <w:ind w:firstLine="0" w:firstLineChars="0"/>
              <w:jc w:val="center"/>
              <w:textAlignment w:val="baseline"/>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110</w:t>
            </w:r>
          </w:p>
        </w:tc>
        <w:tc>
          <w:tcPr>
            <w:tcW w:w="1001" w:type="pct"/>
            <w:noWrap w:val="0"/>
            <w:vAlign w:val="center"/>
          </w:tcPr>
          <w:p w14:paraId="022E569E">
            <w:pPr>
              <w:keepNext w:val="0"/>
              <w:keepLines w:val="0"/>
              <w:pageBreakBefore w:val="0"/>
              <w:kinsoku/>
              <w:wordWrap/>
              <w:overflowPunct w:val="0"/>
              <w:topLinePunct w:val="0"/>
              <w:autoSpaceDE/>
              <w:autoSpaceDN/>
              <w:bidi w:val="0"/>
              <w:adjustRightInd w:val="0"/>
              <w:snapToGrid w:val="0"/>
              <w:spacing w:line="240" w:lineRule="auto"/>
              <w:ind w:firstLine="0" w:firstLineChars="0"/>
              <w:jc w:val="center"/>
              <w:textAlignment w:val="baseline"/>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w:t>
            </w:r>
          </w:p>
        </w:tc>
      </w:tr>
      <w:tr w14:paraId="22C977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787" w:type="pct"/>
            <w:noWrap w:val="0"/>
            <w:vAlign w:val="center"/>
          </w:tcPr>
          <w:p w14:paraId="41F6EE9F">
            <w:pPr>
              <w:keepNext w:val="0"/>
              <w:keepLines w:val="0"/>
              <w:pageBreakBefore w:val="0"/>
              <w:kinsoku/>
              <w:wordWrap/>
              <w:overflowPunct w:val="0"/>
              <w:topLinePunct w:val="0"/>
              <w:autoSpaceDE/>
              <w:autoSpaceDN/>
              <w:bidi w:val="0"/>
              <w:adjustRightInd w:val="0"/>
              <w:snapToGrid w:val="0"/>
              <w:spacing w:line="240" w:lineRule="auto"/>
              <w:ind w:firstLine="0" w:firstLineChars="0"/>
              <w:jc w:val="center"/>
              <w:textAlignment w:val="baseline"/>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消防</w:t>
            </w:r>
          </w:p>
        </w:tc>
        <w:tc>
          <w:tcPr>
            <w:tcW w:w="2209" w:type="pct"/>
            <w:noWrap w:val="0"/>
            <w:vAlign w:val="center"/>
          </w:tcPr>
          <w:p w14:paraId="75B0C035">
            <w:pPr>
              <w:keepNext w:val="0"/>
              <w:keepLines w:val="0"/>
              <w:pageBreakBefore w:val="0"/>
              <w:kinsoku/>
              <w:wordWrap/>
              <w:overflowPunct w:val="0"/>
              <w:topLinePunct w:val="0"/>
              <w:autoSpaceDE/>
              <w:autoSpaceDN/>
              <w:bidi w:val="0"/>
              <w:adjustRightInd w:val="0"/>
              <w:snapToGrid w:val="0"/>
              <w:spacing w:line="240" w:lineRule="auto"/>
              <w:ind w:firstLine="0" w:firstLineChars="0"/>
              <w:jc w:val="center"/>
              <w:textAlignment w:val="baseline"/>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w:t>
            </w:r>
          </w:p>
        </w:tc>
        <w:tc>
          <w:tcPr>
            <w:tcW w:w="1001" w:type="pct"/>
            <w:noWrap w:val="0"/>
            <w:vAlign w:val="center"/>
          </w:tcPr>
          <w:p w14:paraId="6DADC12D">
            <w:pPr>
              <w:keepNext w:val="0"/>
              <w:keepLines w:val="0"/>
              <w:pageBreakBefore w:val="0"/>
              <w:kinsoku/>
              <w:wordWrap/>
              <w:overflowPunct w:val="0"/>
              <w:topLinePunct w:val="0"/>
              <w:autoSpaceDE/>
              <w:autoSpaceDN/>
              <w:bidi w:val="0"/>
              <w:adjustRightInd w:val="0"/>
              <w:snapToGrid w:val="0"/>
              <w:spacing w:line="240" w:lineRule="auto"/>
              <w:ind w:firstLine="0" w:firstLineChars="0"/>
              <w:jc w:val="center"/>
              <w:textAlignment w:val="baseline"/>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119</w:t>
            </w:r>
          </w:p>
        </w:tc>
        <w:tc>
          <w:tcPr>
            <w:tcW w:w="1001" w:type="pct"/>
            <w:noWrap w:val="0"/>
            <w:vAlign w:val="center"/>
          </w:tcPr>
          <w:p w14:paraId="57868732">
            <w:pPr>
              <w:keepNext w:val="0"/>
              <w:keepLines w:val="0"/>
              <w:pageBreakBefore w:val="0"/>
              <w:kinsoku/>
              <w:wordWrap/>
              <w:overflowPunct w:val="0"/>
              <w:topLinePunct w:val="0"/>
              <w:autoSpaceDE/>
              <w:autoSpaceDN/>
              <w:bidi w:val="0"/>
              <w:adjustRightInd w:val="0"/>
              <w:snapToGrid w:val="0"/>
              <w:spacing w:line="240" w:lineRule="auto"/>
              <w:ind w:firstLine="0" w:firstLineChars="0"/>
              <w:jc w:val="center"/>
              <w:textAlignment w:val="baseline"/>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w:t>
            </w:r>
          </w:p>
        </w:tc>
      </w:tr>
      <w:tr w14:paraId="0C93BD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787" w:type="pct"/>
            <w:vMerge w:val="restart"/>
            <w:noWrap w:val="0"/>
            <w:vAlign w:val="center"/>
          </w:tcPr>
          <w:p w14:paraId="2AE72138">
            <w:pPr>
              <w:keepNext w:val="0"/>
              <w:keepLines w:val="0"/>
              <w:pageBreakBefore w:val="0"/>
              <w:kinsoku/>
              <w:wordWrap/>
              <w:overflowPunct w:val="0"/>
              <w:topLinePunct w:val="0"/>
              <w:autoSpaceDE/>
              <w:autoSpaceDN/>
              <w:bidi w:val="0"/>
              <w:adjustRightInd w:val="0"/>
              <w:snapToGrid w:val="0"/>
              <w:spacing w:line="240" w:lineRule="auto"/>
              <w:ind w:firstLine="0" w:firstLineChars="0"/>
              <w:jc w:val="center"/>
              <w:textAlignment w:val="baseline"/>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医疗</w:t>
            </w:r>
          </w:p>
        </w:tc>
        <w:tc>
          <w:tcPr>
            <w:tcW w:w="2209" w:type="pct"/>
            <w:noWrap w:val="0"/>
            <w:vAlign w:val="center"/>
          </w:tcPr>
          <w:p w14:paraId="1C5025D3">
            <w:pPr>
              <w:keepNext w:val="0"/>
              <w:keepLines w:val="0"/>
              <w:pageBreakBefore w:val="0"/>
              <w:kinsoku/>
              <w:wordWrap/>
              <w:overflowPunct w:val="0"/>
              <w:topLinePunct w:val="0"/>
              <w:autoSpaceDE/>
              <w:autoSpaceDN/>
              <w:bidi w:val="0"/>
              <w:adjustRightInd w:val="0"/>
              <w:snapToGrid w:val="0"/>
              <w:spacing w:line="240" w:lineRule="auto"/>
              <w:ind w:firstLine="0" w:firstLineChars="0"/>
              <w:jc w:val="center"/>
              <w:textAlignment w:val="baseline"/>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张掖市急救中心</w:t>
            </w:r>
          </w:p>
        </w:tc>
        <w:tc>
          <w:tcPr>
            <w:tcW w:w="1001" w:type="pct"/>
            <w:noWrap w:val="0"/>
            <w:vAlign w:val="center"/>
          </w:tcPr>
          <w:p w14:paraId="165D251E">
            <w:pPr>
              <w:keepNext w:val="0"/>
              <w:keepLines w:val="0"/>
              <w:pageBreakBefore w:val="0"/>
              <w:kinsoku/>
              <w:wordWrap/>
              <w:overflowPunct w:val="0"/>
              <w:topLinePunct w:val="0"/>
              <w:autoSpaceDE/>
              <w:autoSpaceDN/>
              <w:bidi w:val="0"/>
              <w:adjustRightInd w:val="0"/>
              <w:snapToGrid w:val="0"/>
              <w:spacing w:line="240" w:lineRule="auto"/>
              <w:ind w:firstLine="0" w:firstLineChars="0"/>
              <w:jc w:val="center"/>
              <w:textAlignment w:val="baseline"/>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120</w:t>
            </w:r>
          </w:p>
        </w:tc>
        <w:tc>
          <w:tcPr>
            <w:tcW w:w="1001" w:type="pct"/>
            <w:noWrap w:val="0"/>
            <w:vAlign w:val="center"/>
          </w:tcPr>
          <w:p w14:paraId="0FF824B5">
            <w:pPr>
              <w:keepNext w:val="0"/>
              <w:keepLines w:val="0"/>
              <w:pageBreakBefore w:val="0"/>
              <w:kinsoku/>
              <w:wordWrap/>
              <w:overflowPunct w:val="0"/>
              <w:topLinePunct w:val="0"/>
              <w:autoSpaceDE/>
              <w:autoSpaceDN/>
              <w:bidi w:val="0"/>
              <w:adjustRightInd w:val="0"/>
              <w:snapToGrid w:val="0"/>
              <w:spacing w:line="240" w:lineRule="auto"/>
              <w:ind w:firstLine="0" w:firstLineChars="0"/>
              <w:jc w:val="center"/>
              <w:textAlignment w:val="baseline"/>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w:t>
            </w:r>
          </w:p>
        </w:tc>
      </w:tr>
      <w:tr w14:paraId="78052B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787" w:type="pct"/>
            <w:vMerge w:val="continue"/>
            <w:noWrap w:val="0"/>
            <w:vAlign w:val="top"/>
          </w:tcPr>
          <w:p w14:paraId="25F17DB8">
            <w:pPr>
              <w:keepNext w:val="0"/>
              <w:keepLines w:val="0"/>
              <w:pageBreakBefore w:val="0"/>
              <w:kinsoku/>
              <w:wordWrap/>
              <w:overflowPunct w:val="0"/>
              <w:topLinePunct w:val="0"/>
              <w:autoSpaceDE/>
              <w:autoSpaceDN/>
              <w:bidi w:val="0"/>
              <w:adjustRightInd w:val="0"/>
              <w:snapToGrid w:val="0"/>
              <w:spacing w:line="240" w:lineRule="auto"/>
              <w:ind w:firstLine="0" w:firstLineChars="0"/>
              <w:jc w:val="center"/>
              <w:textAlignment w:val="baseline"/>
              <w:rPr>
                <w:rFonts w:hint="default" w:ascii="Times New Roman" w:hAnsi="Times New Roman" w:eastAsia="仿宋" w:cs="Times New Roman"/>
                <w:color w:val="000000"/>
                <w:sz w:val="24"/>
                <w:szCs w:val="24"/>
              </w:rPr>
            </w:pPr>
          </w:p>
        </w:tc>
        <w:tc>
          <w:tcPr>
            <w:tcW w:w="2209" w:type="pct"/>
            <w:noWrap w:val="0"/>
            <w:vAlign w:val="center"/>
          </w:tcPr>
          <w:p w14:paraId="38864357">
            <w:pPr>
              <w:keepNext w:val="0"/>
              <w:keepLines w:val="0"/>
              <w:pageBreakBefore w:val="0"/>
              <w:kinsoku/>
              <w:wordWrap/>
              <w:overflowPunct w:val="0"/>
              <w:topLinePunct w:val="0"/>
              <w:autoSpaceDE/>
              <w:autoSpaceDN/>
              <w:bidi w:val="0"/>
              <w:adjustRightInd w:val="0"/>
              <w:snapToGrid w:val="0"/>
              <w:spacing w:line="240" w:lineRule="auto"/>
              <w:ind w:firstLine="0" w:firstLineChars="0"/>
              <w:jc w:val="center"/>
              <w:textAlignment w:val="baseline"/>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张掖市人民医院</w:t>
            </w:r>
          </w:p>
        </w:tc>
        <w:tc>
          <w:tcPr>
            <w:tcW w:w="1001" w:type="pct"/>
            <w:noWrap w:val="0"/>
            <w:vAlign w:val="center"/>
          </w:tcPr>
          <w:p w14:paraId="70234201">
            <w:pPr>
              <w:keepNext w:val="0"/>
              <w:keepLines w:val="0"/>
              <w:pageBreakBefore w:val="0"/>
              <w:kinsoku/>
              <w:wordWrap/>
              <w:overflowPunct w:val="0"/>
              <w:topLinePunct w:val="0"/>
              <w:autoSpaceDE/>
              <w:autoSpaceDN/>
              <w:bidi w:val="0"/>
              <w:adjustRightInd w:val="0"/>
              <w:snapToGrid w:val="0"/>
              <w:spacing w:line="240" w:lineRule="auto"/>
              <w:ind w:firstLine="0" w:firstLineChars="0"/>
              <w:jc w:val="center"/>
              <w:textAlignment w:val="baseline"/>
              <w:rPr>
                <w:rFonts w:hint="default" w:ascii="Times New Roman" w:hAnsi="Times New Roman" w:eastAsia="仿宋" w:cs="Times New Roman"/>
                <w:color w:val="000000"/>
                <w:sz w:val="24"/>
                <w:szCs w:val="24"/>
                <w:lang w:val="en-US" w:eastAsia="zh-CN"/>
              </w:rPr>
            </w:pPr>
            <w:r>
              <w:rPr>
                <w:rFonts w:hint="default" w:ascii="Times New Roman" w:hAnsi="Times New Roman" w:eastAsia="仿宋" w:cs="Times New Roman"/>
                <w:color w:val="000000"/>
                <w:sz w:val="24"/>
                <w:szCs w:val="24"/>
              </w:rPr>
              <w:t>0936-82</w:t>
            </w:r>
            <w:r>
              <w:rPr>
                <w:rFonts w:hint="eastAsia" w:eastAsia="仿宋" w:cs="Times New Roman"/>
                <w:color w:val="000000"/>
                <w:sz w:val="24"/>
                <w:szCs w:val="24"/>
                <w:lang w:val="en-US" w:eastAsia="zh-CN"/>
              </w:rPr>
              <w:t>93330</w:t>
            </w:r>
          </w:p>
        </w:tc>
        <w:tc>
          <w:tcPr>
            <w:tcW w:w="1001" w:type="pct"/>
            <w:noWrap w:val="0"/>
            <w:vAlign w:val="center"/>
          </w:tcPr>
          <w:p w14:paraId="7F35427A">
            <w:pPr>
              <w:keepNext w:val="0"/>
              <w:keepLines w:val="0"/>
              <w:pageBreakBefore w:val="0"/>
              <w:kinsoku/>
              <w:wordWrap/>
              <w:overflowPunct w:val="0"/>
              <w:topLinePunct w:val="0"/>
              <w:autoSpaceDE/>
              <w:autoSpaceDN/>
              <w:bidi w:val="0"/>
              <w:adjustRightInd w:val="0"/>
              <w:snapToGrid w:val="0"/>
              <w:spacing w:line="240" w:lineRule="auto"/>
              <w:ind w:firstLine="0" w:firstLineChars="0"/>
              <w:jc w:val="center"/>
              <w:textAlignment w:val="baseline"/>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w:t>
            </w:r>
          </w:p>
        </w:tc>
      </w:tr>
      <w:tr w14:paraId="35311D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787" w:type="pct"/>
            <w:vMerge w:val="continue"/>
            <w:noWrap w:val="0"/>
            <w:vAlign w:val="top"/>
          </w:tcPr>
          <w:p w14:paraId="468026EB">
            <w:pPr>
              <w:keepNext w:val="0"/>
              <w:keepLines w:val="0"/>
              <w:pageBreakBefore w:val="0"/>
              <w:kinsoku/>
              <w:wordWrap/>
              <w:overflowPunct w:val="0"/>
              <w:topLinePunct w:val="0"/>
              <w:autoSpaceDE/>
              <w:autoSpaceDN/>
              <w:bidi w:val="0"/>
              <w:adjustRightInd w:val="0"/>
              <w:snapToGrid w:val="0"/>
              <w:spacing w:line="240" w:lineRule="auto"/>
              <w:ind w:firstLine="0" w:firstLineChars="0"/>
              <w:jc w:val="center"/>
              <w:textAlignment w:val="baseline"/>
              <w:rPr>
                <w:rFonts w:hint="default" w:ascii="Times New Roman" w:hAnsi="Times New Roman" w:eastAsia="仿宋" w:cs="Times New Roman"/>
                <w:color w:val="000000"/>
                <w:sz w:val="24"/>
                <w:szCs w:val="24"/>
              </w:rPr>
            </w:pPr>
          </w:p>
        </w:tc>
        <w:tc>
          <w:tcPr>
            <w:tcW w:w="2209" w:type="pct"/>
            <w:noWrap w:val="0"/>
            <w:vAlign w:val="center"/>
          </w:tcPr>
          <w:p w14:paraId="216909E3">
            <w:pPr>
              <w:keepNext w:val="0"/>
              <w:keepLines w:val="0"/>
              <w:pageBreakBefore w:val="0"/>
              <w:kinsoku/>
              <w:wordWrap/>
              <w:overflowPunct w:val="0"/>
              <w:topLinePunct w:val="0"/>
              <w:autoSpaceDE/>
              <w:autoSpaceDN/>
              <w:bidi w:val="0"/>
              <w:adjustRightInd w:val="0"/>
              <w:snapToGrid w:val="0"/>
              <w:spacing w:line="240" w:lineRule="auto"/>
              <w:ind w:firstLine="0" w:firstLineChars="0"/>
              <w:jc w:val="center"/>
              <w:textAlignment w:val="baseline"/>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临泽县人民医院</w:t>
            </w:r>
          </w:p>
        </w:tc>
        <w:tc>
          <w:tcPr>
            <w:tcW w:w="1001" w:type="pct"/>
            <w:noWrap w:val="0"/>
            <w:vAlign w:val="center"/>
          </w:tcPr>
          <w:p w14:paraId="48C86E48">
            <w:pPr>
              <w:keepNext w:val="0"/>
              <w:keepLines w:val="0"/>
              <w:pageBreakBefore w:val="0"/>
              <w:kinsoku/>
              <w:wordWrap/>
              <w:overflowPunct w:val="0"/>
              <w:topLinePunct w:val="0"/>
              <w:autoSpaceDE/>
              <w:autoSpaceDN/>
              <w:bidi w:val="0"/>
              <w:adjustRightInd w:val="0"/>
              <w:snapToGrid w:val="0"/>
              <w:spacing w:line="240" w:lineRule="auto"/>
              <w:ind w:firstLine="0" w:firstLineChars="0"/>
              <w:jc w:val="center"/>
              <w:textAlignment w:val="baseline"/>
              <w:rPr>
                <w:rFonts w:hint="default" w:ascii="Times New Roman" w:hAnsi="Times New Roman" w:eastAsia="仿宋" w:cs="Times New Roman"/>
                <w:color w:val="000000"/>
                <w:sz w:val="24"/>
                <w:szCs w:val="24"/>
                <w:lang w:val="en-US" w:eastAsia="zh-CN"/>
              </w:rPr>
            </w:pPr>
            <w:r>
              <w:rPr>
                <w:rFonts w:hint="default" w:ascii="Times New Roman" w:hAnsi="Times New Roman" w:eastAsia="仿宋" w:cs="Times New Roman"/>
                <w:color w:val="000000"/>
                <w:sz w:val="24"/>
                <w:szCs w:val="24"/>
              </w:rPr>
              <w:t>0936-552</w:t>
            </w:r>
            <w:r>
              <w:rPr>
                <w:rFonts w:hint="eastAsia" w:eastAsia="仿宋" w:cs="Times New Roman"/>
                <w:color w:val="000000"/>
                <w:sz w:val="24"/>
                <w:szCs w:val="24"/>
                <w:lang w:val="en-US" w:eastAsia="zh-CN"/>
              </w:rPr>
              <w:t>4700</w:t>
            </w:r>
          </w:p>
        </w:tc>
        <w:tc>
          <w:tcPr>
            <w:tcW w:w="1001" w:type="pct"/>
            <w:noWrap w:val="0"/>
            <w:vAlign w:val="center"/>
          </w:tcPr>
          <w:p w14:paraId="4658D66A">
            <w:pPr>
              <w:keepNext w:val="0"/>
              <w:keepLines w:val="0"/>
              <w:pageBreakBefore w:val="0"/>
              <w:kinsoku/>
              <w:wordWrap/>
              <w:overflowPunct w:val="0"/>
              <w:topLinePunct w:val="0"/>
              <w:autoSpaceDE/>
              <w:autoSpaceDN/>
              <w:bidi w:val="0"/>
              <w:adjustRightInd w:val="0"/>
              <w:snapToGrid w:val="0"/>
              <w:spacing w:line="240" w:lineRule="auto"/>
              <w:ind w:firstLine="0" w:firstLineChars="0"/>
              <w:jc w:val="center"/>
              <w:textAlignment w:val="baseline"/>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w:t>
            </w:r>
          </w:p>
        </w:tc>
      </w:tr>
      <w:tr w14:paraId="5850C0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787" w:type="pct"/>
            <w:vMerge w:val="continue"/>
            <w:noWrap w:val="0"/>
            <w:vAlign w:val="top"/>
          </w:tcPr>
          <w:p w14:paraId="0A7C5464">
            <w:pPr>
              <w:keepNext w:val="0"/>
              <w:keepLines w:val="0"/>
              <w:pageBreakBefore w:val="0"/>
              <w:kinsoku/>
              <w:wordWrap/>
              <w:overflowPunct w:val="0"/>
              <w:topLinePunct w:val="0"/>
              <w:autoSpaceDE/>
              <w:autoSpaceDN/>
              <w:bidi w:val="0"/>
              <w:adjustRightInd w:val="0"/>
              <w:snapToGrid w:val="0"/>
              <w:spacing w:line="240" w:lineRule="auto"/>
              <w:ind w:firstLine="0" w:firstLineChars="0"/>
              <w:jc w:val="center"/>
              <w:textAlignment w:val="baseline"/>
              <w:rPr>
                <w:rFonts w:hint="default" w:ascii="Times New Roman" w:hAnsi="Times New Roman" w:eastAsia="仿宋" w:cs="Times New Roman"/>
                <w:color w:val="000000"/>
                <w:sz w:val="24"/>
                <w:szCs w:val="24"/>
              </w:rPr>
            </w:pPr>
          </w:p>
        </w:tc>
        <w:tc>
          <w:tcPr>
            <w:tcW w:w="2209" w:type="pct"/>
            <w:noWrap w:val="0"/>
            <w:vAlign w:val="center"/>
          </w:tcPr>
          <w:p w14:paraId="134239BF">
            <w:pPr>
              <w:keepNext w:val="0"/>
              <w:keepLines w:val="0"/>
              <w:pageBreakBefore w:val="0"/>
              <w:kinsoku/>
              <w:wordWrap/>
              <w:overflowPunct w:val="0"/>
              <w:topLinePunct w:val="0"/>
              <w:autoSpaceDE/>
              <w:autoSpaceDN/>
              <w:bidi w:val="0"/>
              <w:adjustRightInd w:val="0"/>
              <w:snapToGrid w:val="0"/>
              <w:spacing w:line="240" w:lineRule="auto"/>
              <w:ind w:firstLine="0" w:firstLineChars="0"/>
              <w:jc w:val="center"/>
              <w:textAlignment w:val="baseline"/>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高台县人民医院</w:t>
            </w:r>
          </w:p>
        </w:tc>
        <w:tc>
          <w:tcPr>
            <w:tcW w:w="1001" w:type="pct"/>
            <w:noWrap w:val="0"/>
            <w:vAlign w:val="center"/>
          </w:tcPr>
          <w:p w14:paraId="7AA268CF">
            <w:pPr>
              <w:keepNext w:val="0"/>
              <w:keepLines w:val="0"/>
              <w:pageBreakBefore w:val="0"/>
              <w:kinsoku/>
              <w:wordWrap/>
              <w:overflowPunct w:val="0"/>
              <w:topLinePunct w:val="0"/>
              <w:autoSpaceDE/>
              <w:autoSpaceDN/>
              <w:bidi w:val="0"/>
              <w:adjustRightInd w:val="0"/>
              <w:snapToGrid w:val="0"/>
              <w:spacing w:line="240" w:lineRule="auto"/>
              <w:ind w:firstLine="0" w:firstLineChars="0"/>
              <w:jc w:val="center"/>
              <w:textAlignment w:val="baseline"/>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0936-6621016</w:t>
            </w:r>
          </w:p>
        </w:tc>
        <w:tc>
          <w:tcPr>
            <w:tcW w:w="1001" w:type="pct"/>
            <w:noWrap w:val="0"/>
            <w:vAlign w:val="center"/>
          </w:tcPr>
          <w:p w14:paraId="2D9CE387">
            <w:pPr>
              <w:keepNext w:val="0"/>
              <w:keepLines w:val="0"/>
              <w:pageBreakBefore w:val="0"/>
              <w:kinsoku/>
              <w:wordWrap/>
              <w:overflowPunct w:val="0"/>
              <w:topLinePunct w:val="0"/>
              <w:autoSpaceDE/>
              <w:autoSpaceDN/>
              <w:bidi w:val="0"/>
              <w:adjustRightInd w:val="0"/>
              <w:snapToGrid w:val="0"/>
              <w:spacing w:line="240" w:lineRule="auto"/>
              <w:ind w:firstLine="0" w:firstLineChars="0"/>
              <w:jc w:val="center"/>
              <w:textAlignment w:val="baseline"/>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w:t>
            </w:r>
          </w:p>
        </w:tc>
      </w:tr>
      <w:tr w14:paraId="324105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787" w:type="pct"/>
            <w:vMerge w:val="continue"/>
            <w:noWrap w:val="0"/>
            <w:vAlign w:val="top"/>
          </w:tcPr>
          <w:p w14:paraId="4C76747C">
            <w:pPr>
              <w:keepNext w:val="0"/>
              <w:keepLines w:val="0"/>
              <w:pageBreakBefore w:val="0"/>
              <w:kinsoku/>
              <w:wordWrap/>
              <w:overflowPunct w:val="0"/>
              <w:topLinePunct w:val="0"/>
              <w:autoSpaceDE/>
              <w:autoSpaceDN/>
              <w:bidi w:val="0"/>
              <w:adjustRightInd w:val="0"/>
              <w:snapToGrid w:val="0"/>
              <w:spacing w:line="240" w:lineRule="auto"/>
              <w:ind w:firstLine="0" w:firstLineChars="0"/>
              <w:jc w:val="center"/>
              <w:textAlignment w:val="baseline"/>
              <w:rPr>
                <w:rFonts w:hint="default" w:ascii="Times New Roman" w:hAnsi="Times New Roman" w:eastAsia="仿宋" w:cs="Times New Roman"/>
                <w:color w:val="000000"/>
                <w:sz w:val="24"/>
                <w:szCs w:val="24"/>
              </w:rPr>
            </w:pPr>
          </w:p>
        </w:tc>
        <w:tc>
          <w:tcPr>
            <w:tcW w:w="2209" w:type="pct"/>
            <w:noWrap w:val="0"/>
            <w:vAlign w:val="center"/>
          </w:tcPr>
          <w:p w14:paraId="5C5EEA95">
            <w:pPr>
              <w:keepNext w:val="0"/>
              <w:keepLines w:val="0"/>
              <w:pageBreakBefore w:val="0"/>
              <w:kinsoku/>
              <w:wordWrap/>
              <w:overflowPunct w:val="0"/>
              <w:topLinePunct w:val="0"/>
              <w:autoSpaceDE/>
              <w:autoSpaceDN/>
              <w:bidi w:val="0"/>
              <w:adjustRightInd w:val="0"/>
              <w:snapToGrid w:val="0"/>
              <w:spacing w:line="240" w:lineRule="auto"/>
              <w:ind w:firstLine="0" w:firstLineChars="0"/>
              <w:jc w:val="center"/>
              <w:textAlignment w:val="baseline"/>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山丹县人民医院</w:t>
            </w:r>
          </w:p>
        </w:tc>
        <w:tc>
          <w:tcPr>
            <w:tcW w:w="1001" w:type="pct"/>
            <w:noWrap w:val="0"/>
            <w:vAlign w:val="center"/>
          </w:tcPr>
          <w:p w14:paraId="2DF3E997">
            <w:pPr>
              <w:keepNext w:val="0"/>
              <w:keepLines w:val="0"/>
              <w:pageBreakBefore w:val="0"/>
              <w:kinsoku/>
              <w:wordWrap/>
              <w:overflowPunct w:val="0"/>
              <w:topLinePunct w:val="0"/>
              <w:autoSpaceDE/>
              <w:autoSpaceDN/>
              <w:bidi w:val="0"/>
              <w:adjustRightInd w:val="0"/>
              <w:snapToGrid w:val="0"/>
              <w:spacing w:line="240" w:lineRule="auto"/>
              <w:ind w:firstLine="0" w:firstLineChars="0"/>
              <w:jc w:val="center"/>
              <w:textAlignment w:val="baseline"/>
              <w:rPr>
                <w:rFonts w:hint="default" w:ascii="Times New Roman" w:hAnsi="Times New Roman" w:eastAsia="仿宋" w:cs="Times New Roman"/>
                <w:color w:val="000000"/>
                <w:sz w:val="24"/>
                <w:szCs w:val="24"/>
                <w:lang w:val="en-US" w:eastAsia="zh-CN"/>
              </w:rPr>
            </w:pPr>
            <w:r>
              <w:rPr>
                <w:rFonts w:hint="default" w:ascii="Times New Roman" w:hAnsi="Times New Roman" w:eastAsia="仿宋" w:cs="Times New Roman"/>
                <w:color w:val="000000"/>
                <w:sz w:val="24"/>
                <w:szCs w:val="24"/>
              </w:rPr>
              <w:t>0936-2721</w:t>
            </w:r>
            <w:r>
              <w:rPr>
                <w:rFonts w:hint="eastAsia" w:eastAsia="仿宋" w:cs="Times New Roman"/>
                <w:color w:val="000000"/>
                <w:sz w:val="24"/>
                <w:szCs w:val="24"/>
                <w:lang w:val="en-US" w:eastAsia="zh-CN"/>
              </w:rPr>
              <w:t>024</w:t>
            </w:r>
          </w:p>
        </w:tc>
        <w:tc>
          <w:tcPr>
            <w:tcW w:w="1001" w:type="pct"/>
            <w:noWrap w:val="0"/>
            <w:vAlign w:val="center"/>
          </w:tcPr>
          <w:p w14:paraId="250C4513">
            <w:pPr>
              <w:keepNext w:val="0"/>
              <w:keepLines w:val="0"/>
              <w:pageBreakBefore w:val="0"/>
              <w:kinsoku/>
              <w:wordWrap/>
              <w:overflowPunct w:val="0"/>
              <w:topLinePunct w:val="0"/>
              <w:autoSpaceDE/>
              <w:autoSpaceDN/>
              <w:bidi w:val="0"/>
              <w:adjustRightInd w:val="0"/>
              <w:snapToGrid w:val="0"/>
              <w:spacing w:line="240" w:lineRule="auto"/>
              <w:ind w:firstLine="0" w:firstLineChars="0"/>
              <w:jc w:val="center"/>
              <w:textAlignment w:val="baseline"/>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w:t>
            </w:r>
          </w:p>
        </w:tc>
      </w:tr>
      <w:tr w14:paraId="0B650D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787" w:type="pct"/>
            <w:vMerge w:val="continue"/>
            <w:noWrap w:val="0"/>
            <w:vAlign w:val="top"/>
          </w:tcPr>
          <w:p w14:paraId="386CCEA3">
            <w:pPr>
              <w:keepNext w:val="0"/>
              <w:keepLines w:val="0"/>
              <w:pageBreakBefore w:val="0"/>
              <w:kinsoku/>
              <w:wordWrap/>
              <w:overflowPunct w:val="0"/>
              <w:topLinePunct w:val="0"/>
              <w:autoSpaceDE/>
              <w:autoSpaceDN/>
              <w:bidi w:val="0"/>
              <w:adjustRightInd w:val="0"/>
              <w:snapToGrid w:val="0"/>
              <w:spacing w:line="240" w:lineRule="auto"/>
              <w:ind w:firstLine="0" w:firstLineChars="0"/>
              <w:jc w:val="center"/>
              <w:textAlignment w:val="baseline"/>
              <w:rPr>
                <w:rFonts w:hint="default" w:ascii="Times New Roman" w:hAnsi="Times New Roman" w:eastAsia="仿宋" w:cs="Times New Roman"/>
                <w:color w:val="000000"/>
                <w:sz w:val="24"/>
                <w:szCs w:val="24"/>
              </w:rPr>
            </w:pPr>
          </w:p>
        </w:tc>
        <w:tc>
          <w:tcPr>
            <w:tcW w:w="2209" w:type="pct"/>
            <w:noWrap w:val="0"/>
            <w:vAlign w:val="center"/>
          </w:tcPr>
          <w:p w14:paraId="67DEE5B9">
            <w:pPr>
              <w:keepNext w:val="0"/>
              <w:keepLines w:val="0"/>
              <w:pageBreakBefore w:val="0"/>
              <w:kinsoku/>
              <w:wordWrap/>
              <w:overflowPunct w:val="0"/>
              <w:topLinePunct w:val="0"/>
              <w:autoSpaceDE/>
              <w:autoSpaceDN/>
              <w:bidi w:val="0"/>
              <w:adjustRightInd w:val="0"/>
              <w:snapToGrid w:val="0"/>
              <w:spacing w:line="240" w:lineRule="auto"/>
              <w:ind w:firstLine="0" w:firstLineChars="0"/>
              <w:jc w:val="center"/>
              <w:textAlignment w:val="baseline"/>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民乐县人民医院</w:t>
            </w:r>
          </w:p>
        </w:tc>
        <w:tc>
          <w:tcPr>
            <w:tcW w:w="1001" w:type="pct"/>
            <w:noWrap w:val="0"/>
            <w:vAlign w:val="center"/>
          </w:tcPr>
          <w:p w14:paraId="344272C8">
            <w:pPr>
              <w:keepNext w:val="0"/>
              <w:keepLines w:val="0"/>
              <w:pageBreakBefore w:val="0"/>
              <w:kinsoku/>
              <w:wordWrap/>
              <w:overflowPunct w:val="0"/>
              <w:topLinePunct w:val="0"/>
              <w:autoSpaceDE/>
              <w:autoSpaceDN/>
              <w:bidi w:val="0"/>
              <w:adjustRightInd w:val="0"/>
              <w:snapToGrid w:val="0"/>
              <w:spacing w:line="240" w:lineRule="auto"/>
              <w:ind w:firstLine="0" w:firstLineChars="0"/>
              <w:jc w:val="center"/>
              <w:textAlignment w:val="baseline"/>
              <w:rPr>
                <w:rFonts w:hint="default" w:ascii="Times New Roman" w:hAnsi="Times New Roman" w:eastAsia="仿宋" w:cs="Times New Roman"/>
                <w:color w:val="000000"/>
                <w:sz w:val="24"/>
                <w:szCs w:val="24"/>
                <w:lang w:val="en-US" w:eastAsia="zh-CN"/>
              </w:rPr>
            </w:pPr>
            <w:r>
              <w:rPr>
                <w:rFonts w:hint="default" w:ascii="Times New Roman" w:hAnsi="Times New Roman" w:eastAsia="仿宋" w:cs="Times New Roman"/>
                <w:color w:val="000000"/>
                <w:sz w:val="24"/>
                <w:szCs w:val="24"/>
              </w:rPr>
              <w:t>0936-442</w:t>
            </w:r>
            <w:r>
              <w:rPr>
                <w:rFonts w:hint="eastAsia" w:eastAsia="仿宋" w:cs="Times New Roman"/>
                <w:color w:val="000000"/>
                <w:sz w:val="24"/>
                <w:szCs w:val="24"/>
                <w:lang w:val="en-US" w:eastAsia="zh-CN"/>
              </w:rPr>
              <w:t>1282</w:t>
            </w:r>
          </w:p>
        </w:tc>
        <w:tc>
          <w:tcPr>
            <w:tcW w:w="1001" w:type="pct"/>
            <w:noWrap w:val="0"/>
            <w:vAlign w:val="center"/>
          </w:tcPr>
          <w:p w14:paraId="29CA239B">
            <w:pPr>
              <w:keepNext w:val="0"/>
              <w:keepLines w:val="0"/>
              <w:pageBreakBefore w:val="0"/>
              <w:kinsoku/>
              <w:wordWrap/>
              <w:overflowPunct w:val="0"/>
              <w:topLinePunct w:val="0"/>
              <w:autoSpaceDE/>
              <w:autoSpaceDN/>
              <w:bidi w:val="0"/>
              <w:adjustRightInd w:val="0"/>
              <w:snapToGrid w:val="0"/>
              <w:spacing w:line="240" w:lineRule="auto"/>
              <w:ind w:firstLine="0" w:firstLineChars="0"/>
              <w:jc w:val="center"/>
              <w:textAlignment w:val="baseline"/>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w:t>
            </w:r>
          </w:p>
        </w:tc>
      </w:tr>
      <w:tr w14:paraId="033730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787" w:type="pct"/>
            <w:vMerge w:val="continue"/>
            <w:noWrap w:val="0"/>
            <w:vAlign w:val="top"/>
          </w:tcPr>
          <w:p w14:paraId="0D210AFF">
            <w:pPr>
              <w:keepNext w:val="0"/>
              <w:keepLines w:val="0"/>
              <w:pageBreakBefore w:val="0"/>
              <w:kinsoku/>
              <w:wordWrap/>
              <w:overflowPunct w:val="0"/>
              <w:topLinePunct w:val="0"/>
              <w:autoSpaceDE/>
              <w:autoSpaceDN/>
              <w:bidi w:val="0"/>
              <w:adjustRightInd w:val="0"/>
              <w:snapToGrid w:val="0"/>
              <w:spacing w:line="240" w:lineRule="auto"/>
              <w:ind w:firstLine="0" w:firstLineChars="0"/>
              <w:jc w:val="center"/>
              <w:textAlignment w:val="baseline"/>
              <w:rPr>
                <w:rFonts w:hint="default" w:ascii="Times New Roman" w:hAnsi="Times New Roman" w:eastAsia="仿宋" w:cs="Times New Roman"/>
                <w:color w:val="000000"/>
                <w:sz w:val="24"/>
                <w:szCs w:val="24"/>
              </w:rPr>
            </w:pPr>
          </w:p>
        </w:tc>
        <w:tc>
          <w:tcPr>
            <w:tcW w:w="2209" w:type="pct"/>
            <w:noWrap w:val="0"/>
            <w:vAlign w:val="center"/>
          </w:tcPr>
          <w:p w14:paraId="5731CBEC">
            <w:pPr>
              <w:keepNext w:val="0"/>
              <w:keepLines w:val="0"/>
              <w:pageBreakBefore w:val="0"/>
              <w:kinsoku/>
              <w:wordWrap/>
              <w:overflowPunct w:val="0"/>
              <w:topLinePunct w:val="0"/>
              <w:autoSpaceDE/>
              <w:autoSpaceDN/>
              <w:bidi w:val="0"/>
              <w:adjustRightInd w:val="0"/>
              <w:snapToGrid w:val="0"/>
              <w:spacing w:line="240" w:lineRule="auto"/>
              <w:ind w:firstLine="0" w:firstLineChars="0"/>
              <w:jc w:val="center"/>
              <w:textAlignment w:val="baseline"/>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肃南县人民医院</w:t>
            </w:r>
          </w:p>
        </w:tc>
        <w:tc>
          <w:tcPr>
            <w:tcW w:w="1001" w:type="pct"/>
            <w:noWrap w:val="0"/>
            <w:vAlign w:val="center"/>
          </w:tcPr>
          <w:p w14:paraId="76C7CBB3">
            <w:pPr>
              <w:keepNext w:val="0"/>
              <w:keepLines w:val="0"/>
              <w:pageBreakBefore w:val="0"/>
              <w:kinsoku/>
              <w:wordWrap/>
              <w:overflowPunct w:val="0"/>
              <w:topLinePunct w:val="0"/>
              <w:autoSpaceDE/>
              <w:autoSpaceDN/>
              <w:bidi w:val="0"/>
              <w:adjustRightInd w:val="0"/>
              <w:snapToGrid w:val="0"/>
              <w:spacing w:line="240" w:lineRule="auto"/>
              <w:ind w:firstLine="0" w:firstLineChars="0"/>
              <w:jc w:val="center"/>
              <w:textAlignment w:val="baseline"/>
              <w:rPr>
                <w:rFonts w:hint="default" w:ascii="Times New Roman" w:hAnsi="Times New Roman" w:eastAsia="仿宋" w:cs="Times New Roman"/>
                <w:color w:val="000000"/>
                <w:sz w:val="24"/>
                <w:szCs w:val="24"/>
                <w:lang w:val="en-US" w:eastAsia="zh-CN"/>
              </w:rPr>
            </w:pPr>
            <w:r>
              <w:rPr>
                <w:rFonts w:hint="default" w:ascii="Times New Roman" w:hAnsi="Times New Roman" w:eastAsia="仿宋" w:cs="Times New Roman"/>
                <w:color w:val="000000"/>
                <w:sz w:val="24"/>
                <w:szCs w:val="24"/>
              </w:rPr>
              <w:t>0936-6121</w:t>
            </w:r>
            <w:r>
              <w:rPr>
                <w:rFonts w:hint="eastAsia" w:ascii="Times New Roman" w:hAnsi="Times New Roman" w:eastAsia="仿宋" w:cs="Times New Roman"/>
                <w:color w:val="000000"/>
                <w:sz w:val="24"/>
                <w:szCs w:val="24"/>
                <w:lang w:val="en-US" w:eastAsia="zh-CN"/>
              </w:rPr>
              <w:t>967</w:t>
            </w:r>
          </w:p>
        </w:tc>
        <w:tc>
          <w:tcPr>
            <w:tcW w:w="1001" w:type="pct"/>
            <w:noWrap w:val="0"/>
            <w:vAlign w:val="center"/>
          </w:tcPr>
          <w:p w14:paraId="4D4A0864">
            <w:pPr>
              <w:keepNext w:val="0"/>
              <w:keepLines w:val="0"/>
              <w:pageBreakBefore w:val="0"/>
              <w:kinsoku/>
              <w:wordWrap/>
              <w:overflowPunct w:val="0"/>
              <w:topLinePunct w:val="0"/>
              <w:autoSpaceDE/>
              <w:autoSpaceDN/>
              <w:bidi w:val="0"/>
              <w:adjustRightInd w:val="0"/>
              <w:snapToGrid w:val="0"/>
              <w:spacing w:line="240" w:lineRule="auto"/>
              <w:ind w:firstLine="0" w:firstLineChars="0"/>
              <w:jc w:val="center"/>
              <w:textAlignment w:val="baseline"/>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w:t>
            </w:r>
          </w:p>
        </w:tc>
      </w:tr>
      <w:tr w14:paraId="592E66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787" w:type="pct"/>
            <w:vMerge w:val="continue"/>
            <w:noWrap w:val="0"/>
            <w:vAlign w:val="top"/>
          </w:tcPr>
          <w:p w14:paraId="015286D6">
            <w:pPr>
              <w:keepNext w:val="0"/>
              <w:keepLines w:val="0"/>
              <w:pageBreakBefore w:val="0"/>
              <w:kinsoku/>
              <w:wordWrap/>
              <w:overflowPunct w:val="0"/>
              <w:topLinePunct w:val="0"/>
              <w:autoSpaceDE/>
              <w:autoSpaceDN/>
              <w:bidi w:val="0"/>
              <w:adjustRightInd w:val="0"/>
              <w:snapToGrid w:val="0"/>
              <w:spacing w:line="240" w:lineRule="auto"/>
              <w:ind w:firstLine="0" w:firstLineChars="0"/>
              <w:jc w:val="center"/>
              <w:textAlignment w:val="baseline"/>
              <w:rPr>
                <w:rFonts w:hint="default" w:ascii="Times New Roman" w:hAnsi="Times New Roman" w:eastAsia="仿宋" w:cs="Times New Roman"/>
                <w:color w:val="000000"/>
                <w:sz w:val="24"/>
                <w:szCs w:val="24"/>
              </w:rPr>
            </w:pPr>
          </w:p>
        </w:tc>
        <w:tc>
          <w:tcPr>
            <w:tcW w:w="2209" w:type="pct"/>
            <w:noWrap w:val="0"/>
            <w:vAlign w:val="center"/>
          </w:tcPr>
          <w:p w14:paraId="5B89FC4F">
            <w:pPr>
              <w:keepNext w:val="0"/>
              <w:keepLines w:val="0"/>
              <w:pageBreakBefore w:val="0"/>
              <w:kinsoku/>
              <w:wordWrap/>
              <w:overflowPunct w:val="0"/>
              <w:topLinePunct w:val="0"/>
              <w:autoSpaceDE/>
              <w:autoSpaceDN/>
              <w:bidi w:val="0"/>
              <w:adjustRightInd w:val="0"/>
              <w:snapToGrid w:val="0"/>
              <w:spacing w:line="240" w:lineRule="auto"/>
              <w:ind w:firstLine="0" w:firstLineChars="0"/>
              <w:jc w:val="center"/>
              <w:textAlignment w:val="baseline"/>
              <w:rPr>
                <w:rFonts w:hint="default" w:ascii="Times New Roman" w:hAnsi="Times New Roman" w:eastAsia="仿宋" w:cs="Times New Roman"/>
                <w:color w:val="000000"/>
                <w:sz w:val="24"/>
                <w:szCs w:val="24"/>
                <w:lang w:val="en-US" w:eastAsia="zh-CN"/>
              </w:rPr>
            </w:pPr>
            <w:r>
              <w:rPr>
                <w:rFonts w:hint="default" w:ascii="Times New Roman" w:hAnsi="Times New Roman" w:eastAsia="仿宋" w:cs="Times New Roman"/>
                <w:color w:val="000000"/>
                <w:sz w:val="24"/>
                <w:szCs w:val="24"/>
                <w:lang w:val="en-US" w:eastAsia="zh-CN"/>
              </w:rPr>
              <w:t>永昌县人民医院</w:t>
            </w:r>
          </w:p>
        </w:tc>
        <w:tc>
          <w:tcPr>
            <w:tcW w:w="1001" w:type="pct"/>
            <w:noWrap w:val="0"/>
            <w:vAlign w:val="center"/>
          </w:tcPr>
          <w:p w14:paraId="024156F8">
            <w:pPr>
              <w:keepNext w:val="0"/>
              <w:keepLines w:val="0"/>
              <w:pageBreakBefore w:val="0"/>
              <w:kinsoku/>
              <w:wordWrap/>
              <w:overflowPunct w:val="0"/>
              <w:topLinePunct w:val="0"/>
              <w:autoSpaceDE/>
              <w:autoSpaceDN/>
              <w:bidi w:val="0"/>
              <w:adjustRightInd w:val="0"/>
              <w:snapToGrid w:val="0"/>
              <w:spacing w:line="240" w:lineRule="auto"/>
              <w:ind w:firstLine="0" w:firstLineChars="0"/>
              <w:jc w:val="center"/>
              <w:textAlignment w:val="baseline"/>
              <w:rPr>
                <w:rFonts w:hint="default" w:ascii="Times New Roman" w:hAnsi="Times New Roman" w:eastAsia="仿宋" w:cs="Times New Roman"/>
                <w:color w:val="000000"/>
                <w:sz w:val="24"/>
                <w:szCs w:val="24"/>
                <w:lang w:val="en-US" w:eastAsia="zh-CN"/>
              </w:rPr>
            </w:pPr>
            <w:r>
              <w:rPr>
                <w:rFonts w:hint="default" w:ascii="Times New Roman" w:hAnsi="Times New Roman" w:eastAsia="仿宋" w:cs="Times New Roman"/>
                <w:color w:val="000000"/>
                <w:sz w:val="24"/>
                <w:szCs w:val="24"/>
                <w:lang w:val="en-US" w:eastAsia="zh-CN"/>
              </w:rPr>
              <w:t>0935-7617138</w:t>
            </w:r>
          </w:p>
        </w:tc>
        <w:tc>
          <w:tcPr>
            <w:tcW w:w="1001" w:type="pct"/>
            <w:noWrap w:val="0"/>
            <w:vAlign w:val="center"/>
          </w:tcPr>
          <w:p w14:paraId="176EB252">
            <w:pPr>
              <w:keepNext w:val="0"/>
              <w:keepLines w:val="0"/>
              <w:pageBreakBefore w:val="0"/>
              <w:kinsoku/>
              <w:wordWrap/>
              <w:overflowPunct w:val="0"/>
              <w:topLinePunct w:val="0"/>
              <w:autoSpaceDE/>
              <w:autoSpaceDN/>
              <w:bidi w:val="0"/>
              <w:adjustRightInd w:val="0"/>
              <w:snapToGrid w:val="0"/>
              <w:spacing w:line="240" w:lineRule="auto"/>
              <w:ind w:firstLine="0" w:firstLineChars="0"/>
              <w:jc w:val="center"/>
              <w:textAlignment w:val="baseline"/>
              <w:rPr>
                <w:rFonts w:hint="eastAsia" w:ascii="Times New Roman" w:hAnsi="Times New Roman" w:eastAsia="仿宋" w:cs="Times New Roman"/>
                <w:color w:val="000000"/>
                <w:sz w:val="24"/>
                <w:szCs w:val="24"/>
                <w:lang w:val="en-US" w:eastAsia="zh-CN"/>
              </w:rPr>
            </w:pPr>
            <w:r>
              <w:rPr>
                <w:rFonts w:hint="eastAsia" w:eastAsia="仿宋" w:cs="Times New Roman"/>
                <w:color w:val="000000"/>
                <w:sz w:val="24"/>
                <w:szCs w:val="24"/>
                <w:lang w:val="en-US" w:eastAsia="zh-CN"/>
              </w:rPr>
              <w:t>/</w:t>
            </w:r>
          </w:p>
        </w:tc>
      </w:tr>
      <w:tr w14:paraId="073082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787" w:type="pct"/>
            <w:vMerge w:val="continue"/>
            <w:noWrap w:val="0"/>
            <w:vAlign w:val="top"/>
          </w:tcPr>
          <w:p w14:paraId="28EC0CE8">
            <w:pPr>
              <w:keepNext w:val="0"/>
              <w:keepLines w:val="0"/>
              <w:pageBreakBefore w:val="0"/>
              <w:kinsoku/>
              <w:wordWrap/>
              <w:overflowPunct w:val="0"/>
              <w:topLinePunct w:val="0"/>
              <w:autoSpaceDE/>
              <w:autoSpaceDN/>
              <w:bidi w:val="0"/>
              <w:adjustRightInd w:val="0"/>
              <w:snapToGrid w:val="0"/>
              <w:spacing w:line="240" w:lineRule="auto"/>
              <w:ind w:firstLine="0" w:firstLineChars="0"/>
              <w:jc w:val="center"/>
              <w:textAlignment w:val="baseline"/>
              <w:rPr>
                <w:rFonts w:hint="default" w:ascii="Times New Roman" w:hAnsi="Times New Roman" w:eastAsia="仿宋" w:cs="Times New Roman"/>
                <w:color w:val="000000"/>
                <w:sz w:val="24"/>
                <w:szCs w:val="24"/>
              </w:rPr>
            </w:pPr>
          </w:p>
        </w:tc>
        <w:tc>
          <w:tcPr>
            <w:tcW w:w="2209" w:type="pct"/>
            <w:noWrap w:val="0"/>
            <w:vAlign w:val="center"/>
          </w:tcPr>
          <w:p w14:paraId="0CDB8AFA">
            <w:pPr>
              <w:keepNext w:val="0"/>
              <w:keepLines w:val="0"/>
              <w:pageBreakBefore w:val="0"/>
              <w:kinsoku/>
              <w:wordWrap/>
              <w:overflowPunct w:val="0"/>
              <w:topLinePunct w:val="0"/>
              <w:autoSpaceDE/>
              <w:autoSpaceDN/>
              <w:bidi w:val="0"/>
              <w:adjustRightInd w:val="0"/>
              <w:snapToGrid w:val="0"/>
              <w:spacing w:line="240" w:lineRule="auto"/>
              <w:ind w:firstLine="0" w:firstLineChars="0"/>
              <w:jc w:val="center"/>
              <w:textAlignment w:val="baseline"/>
              <w:rPr>
                <w:rFonts w:hint="default" w:ascii="Times New Roman" w:hAnsi="Times New Roman" w:eastAsia="仿宋" w:cs="Times New Roman"/>
                <w:color w:val="000000"/>
                <w:sz w:val="24"/>
                <w:szCs w:val="24"/>
                <w:lang w:val="en-US" w:eastAsia="zh-CN"/>
              </w:rPr>
            </w:pPr>
            <w:r>
              <w:rPr>
                <w:rFonts w:hint="default" w:ascii="Times New Roman" w:hAnsi="Times New Roman" w:eastAsia="仿宋" w:cs="Times New Roman"/>
                <w:color w:val="000000"/>
                <w:sz w:val="24"/>
                <w:szCs w:val="24"/>
                <w:lang w:val="en-US" w:eastAsia="zh-CN"/>
              </w:rPr>
              <w:t>嘉峪关市人民医院</w:t>
            </w:r>
          </w:p>
        </w:tc>
        <w:tc>
          <w:tcPr>
            <w:tcW w:w="1001" w:type="pct"/>
            <w:noWrap w:val="0"/>
            <w:vAlign w:val="center"/>
          </w:tcPr>
          <w:p w14:paraId="7915C0B3">
            <w:pPr>
              <w:keepNext w:val="0"/>
              <w:keepLines w:val="0"/>
              <w:pageBreakBefore w:val="0"/>
              <w:kinsoku/>
              <w:wordWrap/>
              <w:overflowPunct w:val="0"/>
              <w:topLinePunct w:val="0"/>
              <w:autoSpaceDE/>
              <w:autoSpaceDN/>
              <w:bidi w:val="0"/>
              <w:adjustRightInd w:val="0"/>
              <w:snapToGrid w:val="0"/>
              <w:spacing w:line="240" w:lineRule="auto"/>
              <w:ind w:firstLine="0" w:firstLineChars="0"/>
              <w:jc w:val="center"/>
              <w:textAlignment w:val="baseline"/>
              <w:rPr>
                <w:rFonts w:hint="default" w:ascii="Times New Roman" w:hAnsi="Times New Roman" w:eastAsia="仿宋" w:cs="Times New Roman"/>
                <w:color w:val="000000"/>
                <w:sz w:val="24"/>
                <w:szCs w:val="24"/>
                <w:lang w:val="en-US" w:eastAsia="zh-CN"/>
              </w:rPr>
            </w:pPr>
            <w:r>
              <w:rPr>
                <w:rFonts w:hint="default" w:ascii="Times New Roman" w:hAnsi="Times New Roman" w:eastAsia="仿宋" w:cs="Times New Roman"/>
                <w:color w:val="000000"/>
                <w:sz w:val="24"/>
                <w:szCs w:val="24"/>
                <w:lang w:val="en-US" w:eastAsia="zh-CN"/>
              </w:rPr>
              <w:t>0937-6225553</w:t>
            </w:r>
          </w:p>
        </w:tc>
        <w:tc>
          <w:tcPr>
            <w:tcW w:w="1001" w:type="pct"/>
            <w:noWrap w:val="0"/>
            <w:vAlign w:val="center"/>
          </w:tcPr>
          <w:p w14:paraId="39EDAC8D">
            <w:pPr>
              <w:keepNext w:val="0"/>
              <w:keepLines w:val="0"/>
              <w:pageBreakBefore w:val="0"/>
              <w:kinsoku/>
              <w:wordWrap/>
              <w:overflowPunct w:val="0"/>
              <w:topLinePunct w:val="0"/>
              <w:autoSpaceDE/>
              <w:autoSpaceDN/>
              <w:bidi w:val="0"/>
              <w:adjustRightInd w:val="0"/>
              <w:snapToGrid w:val="0"/>
              <w:spacing w:line="240" w:lineRule="auto"/>
              <w:ind w:firstLine="0" w:firstLineChars="0"/>
              <w:jc w:val="center"/>
              <w:textAlignment w:val="baseline"/>
              <w:rPr>
                <w:rFonts w:hint="eastAsia" w:ascii="Times New Roman" w:hAnsi="Times New Roman" w:eastAsia="仿宋" w:cs="Times New Roman"/>
                <w:color w:val="000000"/>
                <w:sz w:val="24"/>
                <w:szCs w:val="24"/>
                <w:lang w:val="en-US" w:eastAsia="zh-CN"/>
              </w:rPr>
            </w:pPr>
            <w:r>
              <w:rPr>
                <w:rFonts w:hint="eastAsia" w:eastAsia="仿宋" w:cs="Times New Roman"/>
                <w:color w:val="000000"/>
                <w:sz w:val="24"/>
                <w:szCs w:val="24"/>
                <w:lang w:val="en-US" w:eastAsia="zh-CN"/>
              </w:rPr>
              <w:t>/</w:t>
            </w:r>
          </w:p>
        </w:tc>
      </w:tr>
      <w:tr w14:paraId="357201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453" w:type="dxa"/>
            <w:vMerge w:val="restart"/>
            <w:noWrap w:val="0"/>
            <w:vAlign w:val="center"/>
          </w:tcPr>
          <w:p w14:paraId="0A92D687">
            <w:pPr>
              <w:keepNext w:val="0"/>
              <w:keepLines w:val="0"/>
              <w:pageBreakBefore w:val="0"/>
              <w:kinsoku/>
              <w:wordWrap/>
              <w:overflowPunct w:val="0"/>
              <w:topLinePunct w:val="0"/>
              <w:autoSpaceDE/>
              <w:autoSpaceDN/>
              <w:bidi w:val="0"/>
              <w:adjustRightInd w:val="0"/>
              <w:snapToGrid w:val="0"/>
              <w:spacing w:line="240" w:lineRule="auto"/>
              <w:ind w:firstLine="0" w:firstLineChars="0"/>
              <w:jc w:val="center"/>
              <w:textAlignment w:val="baseline"/>
              <w:rPr>
                <w:rFonts w:hint="default" w:ascii="Times New Roman" w:hAnsi="Times New Roman" w:eastAsia="仿宋" w:cs="Times New Roman"/>
                <w:color w:val="000000"/>
                <w:sz w:val="24"/>
                <w:szCs w:val="24"/>
                <w:lang w:val="en-US" w:eastAsia="zh-CN"/>
              </w:rPr>
            </w:pPr>
            <w:r>
              <w:rPr>
                <w:rFonts w:hint="default" w:ascii="Times New Roman" w:hAnsi="Times New Roman" w:eastAsia="仿宋" w:cs="Times New Roman"/>
                <w:color w:val="000000"/>
                <w:sz w:val="24"/>
                <w:szCs w:val="24"/>
                <w:lang w:val="en-US" w:eastAsia="zh-CN"/>
              </w:rPr>
              <w:t>区域应急救援队伍</w:t>
            </w:r>
          </w:p>
        </w:tc>
        <w:tc>
          <w:tcPr>
            <w:tcW w:w="4082" w:type="dxa"/>
            <w:noWrap w:val="0"/>
            <w:vAlign w:val="center"/>
          </w:tcPr>
          <w:p w14:paraId="4F419115">
            <w:pPr>
              <w:keepNext w:val="0"/>
              <w:keepLines w:val="0"/>
              <w:pageBreakBefore w:val="0"/>
              <w:kinsoku/>
              <w:wordWrap/>
              <w:overflowPunct w:val="0"/>
              <w:topLinePunct w:val="0"/>
              <w:autoSpaceDE/>
              <w:autoSpaceDN/>
              <w:bidi w:val="0"/>
              <w:adjustRightInd w:val="0"/>
              <w:snapToGrid w:val="0"/>
              <w:spacing w:line="240" w:lineRule="auto"/>
              <w:ind w:firstLine="0" w:firstLineChars="0"/>
              <w:jc w:val="center"/>
              <w:textAlignment w:val="baseline"/>
              <w:rPr>
                <w:rFonts w:hint="default" w:ascii="Times New Roman" w:hAnsi="Times New Roman" w:eastAsia="仿宋" w:cs="Times New Roman"/>
                <w:color w:val="000000"/>
                <w:sz w:val="24"/>
                <w:szCs w:val="24"/>
                <w:lang w:val="en-US" w:eastAsia="zh-CN"/>
              </w:rPr>
            </w:pPr>
            <w:r>
              <w:rPr>
                <w:rFonts w:hint="default" w:ascii="Times New Roman" w:hAnsi="Times New Roman" w:eastAsia="仿宋" w:cs="Times New Roman"/>
                <w:color w:val="000000"/>
                <w:sz w:val="24"/>
                <w:szCs w:val="24"/>
                <w:lang w:val="en-US" w:eastAsia="zh-CN"/>
              </w:rPr>
              <w:t>祁青工业园区管委会</w:t>
            </w:r>
          </w:p>
        </w:tc>
        <w:tc>
          <w:tcPr>
            <w:tcW w:w="1850" w:type="dxa"/>
            <w:noWrap w:val="0"/>
            <w:vAlign w:val="center"/>
          </w:tcPr>
          <w:p w14:paraId="5C0E3710">
            <w:pPr>
              <w:keepNext w:val="0"/>
              <w:keepLines w:val="0"/>
              <w:pageBreakBefore w:val="0"/>
              <w:kinsoku/>
              <w:wordWrap/>
              <w:overflowPunct w:val="0"/>
              <w:topLinePunct w:val="0"/>
              <w:autoSpaceDE/>
              <w:autoSpaceDN/>
              <w:bidi w:val="0"/>
              <w:adjustRightInd w:val="0"/>
              <w:snapToGrid w:val="0"/>
              <w:spacing w:line="240" w:lineRule="auto"/>
              <w:ind w:firstLine="0" w:firstLineChars="0"/>
              <w:jc w:val="center"/>
              <w:textAlignment w:val="baseline"/>
              <w:rPr>
                <w:rFonts w:hint="default" w:ascii="Times New Roman" w:hAnsi="Times New Roman" w:eastAsia="仿宋" w:cs="Times New Roman"/>
                <w:color w:val="000000"/>
                <w:sz w:val="24"/>
                <w:szCs w:val="24"/>
                <w:lang w:val="en-US" w:eastAsia="zh-CN"/>
              </w:rPr>
            </w:pPr>
            <w:r>
              <w:rPr>
                <w:rFonts w:hint="default" w:ascii="Times New Roman" w:hAnsi="Times New Roman" w:eastAsia="仿宋" w:cs="Times New Roman"/>
                <w:color w:val="000000"/>
                <w:sz w:val="24"/>
                <w:szCs w:val="24"/>
                <w:lang w:val="en-US" w:eastAsia="zh-CN"/>
              </w:rPr>
              <w:t>0936-61</w:t>
            </w:r>
            <w:r>
              <w:rPr>
                <w:rFonts w:hint="eastAsia" w:eastAsia="仿宋" w:cs="Times New Roman"/>
                <w:color w:val="000000"/>
                <w:sz w:val="24"/>
                <w:szCs w:val="24"/>
                <w:lang w:val="en-US" w:eastAsia="zh-CN"/>
              </w:rPr>
              <w:t>24002</w:t>
            </w:r>
          </w:p>
        </w:tc>
        <w:tc>
          <w:tcPr>
            <w:tcW w:w="1850" w:type="dxa"/>
            <w:noWrap w:val="0"/>
            <w:vAlign w:val="center"/>
          </w:tcPr>
          <w:p w14:paraId="6F43B1B0">
            <w:pPr>
              <w:keepNext w:val="0"/>
              <w:keepLines w:val="0"/>
              <w:pageBreakBefore w:val="0"/>
              <w:kinsoku/>
              <w:wordWrap/>
              <w:overflowPunct w:val="0"/>
              <w:topLinePunct w:val="0"/>
              <w:autoSpaceDE/>
              <w:autoSpaceDN/>
              <w:bidi w:val="0"/>
              <w:adjustRightInd w:val="0"/>
              <w:snapToGrid w:val="0"/>
              <w:spacing w:line="240" w:lineRule="auto"/>
              <w:ind w:firstLine="0" w:firstLineChars="0"/>
              <w:jc w:val="center"/>
              <w:textAlignment w:val="baseline"/>
              <w:rPr>
                <w:rFonts w:hint="default" w:ascii="Times New Roman" w:hAnsi="Times New Roman" w:eastAsia="仿宋" w:cs="Times New Roman"/>
                <w:color w:val="000000"/>
                <w:sz w:val="24"/>
                <w:szCs w:val="24"/>
                <w:lang w:val="en-US" w:eastAsia="zh-CN"/>
              </w:rPr>
            </w:pPr>
            <w:r>
              <w:rPr>
                <w:rFonts w:hint="default" w:ascii="Times New Roman" w:hAnsi="Times New Roman" w:eastAsia="仿宋" w:cs="Times New Roman"/>
                <w:color w:val="000000"/>
                <w:sz w:val="24"/>
                <w:szCs w:val="24"/>
                <w:lang w:val="en-US" w:eastAsia="zh-CN"/>
              </w:rPr>
              <w:t>/</w:t>
            </w:r>
          </w:p>
        </w:tc>
      </w:tr>
      <w:tr w14:paraId="6588C1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453" w:type="dxa"/>
            <w:vMerge w:val="continue"/>
            <w:noWrap w:val="0"/>
            <w:vAlign w:val="top"/>
          </w:tcPr>
          <w:p w14:paraId="7F95E6E0">
            <w:pPr>
              <w:keepNext w:val="0"/>
              <w:keepLines w:val="0"/>
              <w:pageBreakBefore w:val="0"/>
              <w:kinsoku/>
              <w:wordWrap/>
              <w:overflowPunct w:val="0"/>
              <w:topLinePunct w:val="0"/>
              <w:autoSpaceDE/>
              <w:autoSpaceDN/>
              <w:bidi w:val="0"/>
              <w:adjustRightInd w:val="0"/>
              <w:snapToGrid w:val="0"/>
              <w:spacing w:line="240" w:lineRule="auto"/>
              <w:ind w:firstLine="0" w:firstLineChars="0"/>
              <w:jc w:val="center"/>
              <w:textAlignment w:val="baseline"/>
              <w:rPr>
                <w:rFonts w:hint="default" w:ascii="Times New Roman" w:hAnsi="Times New Roman" w:eastAsia="仿宋" w:cs="Times New Roman"/>
                <w:color w:val="000000"/>
                <w:sz w:val="24"/>
                <w:szCs w:val="24"/>
                <w:lang w:val="en-US" w:eastAsia="zh-CN"/>
              </w:rPr>
            </w:pPr>
          </w:p>
        </w:tc>
        <w:tc>
          <w:tcPr>
            <w:tcW w:w="4082" w:type="dxa"/>
            <w:noWrap w:val="0"/>
            <w:vAlign w:val="center"/>
          </w:tcPr>
          <w:p w14:paraId="34C021BD">
            <w:pPr>
              <w:keepNext w:val="0"/>
              <w:keepLines w:val="0"/>
              <w:pageBreakBefore w:val="0"/>
              <w:kinsoku/>
              <w:wordWrap/>
              <w:overflowPunct w:val="0"/>
              <w:topLinePunct w:val="0"/>
              <w:autoSpaceDE/>
              <w:autoSpaceDN/>
              <w:bidi w:val="0"/>
              <w:adjustRightInd w:val="0"/>
              <w:snapToGrid w:val="0"/>
              <w:spacing w:line="240" w:lineRule="auto"/>
              <w:ind w:firstLine="0" w:firstLineChars="0"/>
              <w:jc w:val="center"/>
              <w:textAlignment w:val="baseline"/>
              <w:rPr>
                <w:rFonts w:hint="default" w:ascii="Times New Roman" w:hAnsi="Times New Roman" w:eastAsia="仿宋" w:cs="Times New Roman"/>
                <w:color w:val="000000"/>
                <w:sz w:val="24"/>
                <w:szCs w:val="24"/>
                <w:lang w:val="en-US" w:eastAsia="zh-CN"/>
              </w:rPr>
            </w:pPr>
            <w:r>
              <w:rPr>
                <w:rFonts w:hint="default" w:ascii="Times New Roman" w:hAnsi="Times New Roman" w:eastAsia="仿宋" w:cs="Times New Roman"/>
                <w:color w:val="000000"/>
                <w:sz w:val="24"/>
                <w:szCs w:val="24"/>
                <w:lang w:val="en-US" w:eastAsia="zh-CN"/>
              </w:rPr>
              <w:t>大河循环经济工业园区管委会</w:t>
            </w:r>
          </w:p>
        </w:tc>
        <w:tc>
          <w:tcPr>
            <w:tcW w:w="1850" w:type="dxa"/>
            <w:noWrap w:val="0"/>
            <w:vAlign w:val="center"/>
          </w:tcPr>
          <w:p w14:paraId="1D25B5F3">
            <w:pPr>
              <w:keepNext w:val="0"/>
              <w:keepLines w:val="0"/>
              <w:pageBreakBefore w:val="0"/>
              <w:kinsoku/>
              <w:wordWrap/>
              <w:overflowPunct w:val="0"/>
              <w:topLinePunct w:val="0"/>
              <w:autoSpaceDE/>
              <w:autoSpaceDN/>
              <w:bidi w:val="0"/>
              <w:adjustRightInd w:val="0"/>
              <w:snapToGrid w:val="0"/>
              <w:spacing w:line="240" w:lineRule="auto"/>
              <w:ind w:firstLine="0" w:firstLineChars="0"/>
              <w:jc w:val="center"/>
              <w:textAlignment w:val="baseline"/>
              <w:rPr>
                <w:rFonts w:hint="default" w:ascii="Times New Roman" w:hAnsi="Times New Roman" w:eastAsia="仿宋" w:cs="Times New Roman"/>
                <w:color w:val="000000"/>
                <w:sz w:val="24"/>
                <w:szCs w:val="24"/>
                <w:lang w:val="en-US" w:eastAsia="zh-CN"/>
              </w:rPr>
            </w:pPr>
            <w:r>
              <w:rPr>
                <w:rFonts w:hint="default" w:ascii="Times New Roman" w:hAnsi="Times New Roman" w:eastAsia="仿宋" w:cs="Times New Roman"/>
                <w:color w:val="000000"/>
                <w:sz w:val="24"/>
                <w:szCs w:val="24"/>
                <w:lang w:val="en-US" w:eastAsia="zh-CN"/>
              </w:rPr>
              <w:t>0936-</w:t>
            </w:r>
            <w:r>
              <w:rPr>
                <w:rFonts w:hint="eastAsia" w:eastAsia="仿宋" w:cs="Times New Roman"/>
                <w:color w:val="000000"/>
                <w:sz w:val="24"/>
                <w:szCs w:val="24"/>
                <w:lang w:val="en-US" w:eastAsia="zh-CN"/>
              </w:rPr>
              <w:t>6280062</w:t>
            </w:r>
          </w:p>
        </w:tc>
        <w:tc>
          <w:tcPr>
            <w:tcW w:w="1850" w:type="dxa"/>
            <w:noWrap w:val="0"/>
            <w:vAlign w:val="center"/>
          </w:tcPr>
          <w:p w14:paraId="2E407C3C">
            <w:pPr>
              <w:keepNext w:val="0"/>
              <w:keepLines w:val="0"/>
              <w:pageBreakBefore w:val="0"/>
              <w:kinsoku/>
              <w:wordWrap/>
              <w:overflowPunct w:val="0"/>
              <w:topLinePunct w:val="0"/>
              <w:autoSpaceDE/>
              <w:autoSpaceDN/>
              <w:bidi w:val="0"/>
              <w:adjustRightInd w:val="0"/>
              <w:snapToGrid w:val="0"/>
              <w:spacing w:line="240" w:lineRule="auto"/>
              <w:ind w:firstLine="0" w:firstLineChars="0"/>
              <w:jc w:val="center"/>
              <w:textAlignment w:val="baseline"/>
              <w:rPr>
                <w:rFonts w:hint="default" w:ascii="Times New Roman" w:hAnsi="Times New Roman" w:eastAsia="仿宋" w:cs="Times New Roman"/>
                <w:color w:val="000000"/>
                <w:sz w:val="24"/>
                <w:szCs w:val="24"/>
                <w:lang w:val="en-US" w:eastAsia="zh-CN"/>
              </w:rPr>
            </w:pPr>
            <w:r>
              <w:rPr>
                <w:rFonts w:hint="eastAsia" w:eastAsia="仿宋" w:cs="Times New Roman"/>
                <w:color w:val="000000"/>
                <w:sz w:val="24"/>
                <w:szCs w:val="24"/>
                <w:lang w:val="en-US" w:eastAsia="zh-CN"/>
              </w:rPr>
              <w:t>/</w:t>
            </w:r>
          </w:p>
        </w:tc>
      </w:tr>
      <w:tr w14:paraId="0B5D99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453" w:type="dxa"/>
            <w:vMerge w:val="continue"/>
            <w:noWrap w:val="0"/>
            <w:vAlign w:val="top"/>
          </w:tcPr>
          <w:p w14:paraId="69E6061D">
            <w:pPr>
              <w:keepNext w:val="0"/>
              <w:keepLines w:val="0"/>
              <w:pageBreakBefore w:val="0"/>
              <w:kinsoku/>
              <w:wordWrap/>
              <w:overflowPunct w:val="0"/>
              <w:topLinePunct w:val="0"/>
              <w:autoSpaceDE/>
              <w:autoSpaceDN/>
              <w:bidi w:val="0"/>
              <w:adjustRightInd w:val="0"/>
              <w:snapToGrid w:val="0"/>
              <w:spacing w:line="240" w:lineRule="auto"/>
              <w:ind w:firstLine="0" w:firstLineChars="0"/>
              <w:jc w:val="center"/>
              <w:textAlignment w:val="baseline"/>
              <w:rPr>
                <w:rFonts w:hint="default" w:ascii="Times New Roman" w:hAnsi="Times New Roman" w:eastAsia="仿宋" w:cs="Times New Roman"/>
                <w:color w:val="000000"/>
                <w:sz w:val="24"/>
                <w:szCs w:val="24"/>
                <w:lang w:val="en-US" w:eastAsia="zh-CN"/>
              </w:rPr>
            </w:pPr>
          </w:p>
        </w:tc>
        <w:tc>
          <w:tcPr>
            <w:tcW w:w="4082" w:type="dxa"/>
            <w:noWrap w:val="0"/>
            <w:vAlign w:val="center"/>
          </w:tcPr>
          <w:p w14:paraId="094BC388">
            <w:pPr>
              <w:keepNext w:val="0"/>
              <w:keepLines w:val="0"/>
              <w:pageBreakBefore w:val="0"/>
              <w:kinsoku/>
              <w:wordWrap/>
              <w:overflowPunct w:val="0"/>
              <w:topLinePunct w:val="0"/>
              <w:autoSpaceDE/>
              <w:autoSpaceDN/>
              <w:bidi w:val="0"/>
              <w:adjustRightInd w:val="0"/>
              <w:snapToGrid w:val="0"/>
              <w:spacing w:line="240" w:lineRule="auto"/>
              <w:ind w:firstLine="0" w:firstLineChars="0"/>
              <w:jc w:val="center"/>
              <w:textAlignment w:val="baseline"/>
              <w:rPr>
                <w:rFonts w:hint="default" w:ascii="Times New Roman" w:hAnsi="Times New Roman" w:eastAsia="仿宋" w:cs="Times New Roman"/>
                <w:color w:val="000000"/>
                <w:sz w:val="24"/>
                <w:szCs w:val="24"/>
                <w:lang w:val="en-US" w:eastAsia="zh-CN"/>
              </w:rPr>
            </w:pPr>
            <w:r>
              <w:rPr>
                <w:rFonts w:hint="default" w:ascii="Times New Roman" w:hAnsi="Times New Roman" w:eastAsia="仿宋" w:cs="Times New Roman"/>
                <w:color w:val="000000"/>
                <w:sz w:val="24"/>
                <w:szCs w:val="24"/>
                <w:lang w:val="en-US" w:eastAsia="zh-CN"/>
              </w:rPr>
              <w:t>酒钢矿山救护中队</w:t>
            </w:r>
          </w:p>
        </w:tc>
        <w:tc>
          <w:tcPr>
            <w:tcW w:w="1850" w:type="dxa"/>
            <w:noWrap w:val="0"/>
            <w:vAlign w:val="center"/>
          </w:tcPr>
          <w:p w14:paraId="2624B875">
            <w:pPr>
              <w:keepNext w:val="0"/>
              <w:keepLines w:val="0"/>
              <w:pageBreakBefore w:val="0"/>
              <w:kinsoku/>
              <w:wordWrap/>
              <w:overflowPunct w:val="0"/>
              <w:topLinePunct w:val="0"/>
              <w:autoSpaceDE/>
              <w:autoSpaceDN/>
              <w:bidi w:val="0"/>
              <w:adjustRightInd w:val="0"/>
              <w:snapToGrid w:val="0"/>
              <w:spacing w:line="240" w:lineRule="auto"/>
              <w:ind w:firstLine="0" w:firstLineChars="0"/>
              <w:jc w:val="center"/>
              <w:textAlignment w:val="baseline"/>
              <w:rPr>
                <w:rFonts w:hint="default" w:ascii="Times New Roman" w:hAnsi="Times New Roman" w:eastAsia="仿宋" w:cs="Times New Roman"/>
                <w:color w:val="000000"/>
                <w:sz w:val="24"/>
                <w:szCs w:val="24"/>
                <w:lang w:val="en-US" w:eastAsia="zh-CN"/>
              </w:rPr>
            </w:pPr>
            <w:r>
              <w:rPr>
                <w:rFonts w:hint="default" w:ascii="Times New Roman" w:hAnsi="Times New Roman" w:eastAsia="仿宋" w:cs="Times New Roman"/>
                <w:color w:val="000000"/>
                <w:sz w:val="24"/>
                <w:szCs w:val="24"/>
                <w:lang w:val="en-US" w:eastAsia="zh-CN"/>
              </w:rPr>
              <w:t>0937-671</w:t>
            </w:r>
            <w:r>
              <w:rPr>
                <w:rFonts w:hint="eastAsia" w:eastAsia="仿宋" w:cs="Times New Roman"/>
                <w:color w:val="000000"/>
                <w:sz w:val="24"/>
                <w:szCs w:val="24"/>
                <w:lang w:val="en-US" w:eastAsia="zh-CN"/>
              </w:rPr>
              <w:t>9461</w:t>
            </w:r>
          </w:p>
        </w:tc>
        <w:tc>
          <w:tcPr>
            <w:tcW w:w="1850" w:type="dxa"/>
            <w:noWrap w:val="0"/>
            <w:vAlign w:val="center"/>
          </w:tcPr>
          <w:p w14:paraId="3F05417D">
            <w:pPr>
              <w:keepNext w:val="0"/>
              <w:keepLines w:val="0"/>
              <w:pageBreakBefore w:val="0"/>
              <w:kinsoku/>
              <w:wordWrap/>
              <w:overflowPunct w:val="0"/>
              <w:topLinePunct w:val="0"/>
              <w:autoSpaceDE/>
              <w:autoSpaceDN/>
              <w:bidi w:val="0"/>
              <w:adjustRightInd w:val="0"/>
              <w:snapToGrid w:val="0"/>
              <w:spacing w:line="240" w:lineRule="auto"/>
              <w:ind w:firstLine="0" w:firstLineChars="0"/>
              <w:jc w:val="center"/>
              <w:textAlignment w:val="baseline"/>
              <w:rPr>
                <w:rFonts w:hint="default" w:ascii="Times New Roman" w:hAnsi="Times New Roman" w:eastAsia="仿宋" w:cs="Times New Roman"/>
                <w:color w:val="000000"/>
                <w:sz w:val="24"/>
                <w:szCs w:val="24"/>
                <w:lang w:val="en-US" w:eastAsia="zh-CN"/>
              </w:rPr>
            </w:pPr>
            <w:r>
              <w:rPr>
                <w:rFonts w:hint="default" w:ascii="Times New Roman" w:hAnsi="Times New Roman" w:eastAsia="仿宋" w:cs="Times New Roman"/>
                <w:color w:val="000000"/>
                <w:sz w:val="24"/>
                <w:szCs w:val="24"/>
                <w:lang w:val="en-US" w:eastAsia="zh-CN"/>
              </w:rPr>
              <w:t>/</w:t>
            </w:r>
          </w:p>
        </w:tc>
      </w:tr>
    </w:tbl>
    <w:p w14:paraId="665D96AE">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p w14:paraId="3627FAC3">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p w14:paraId="3AAAFF37">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小标宋简体" w:cs="Times New Roman"/>
          <w:sz w:val="44"/>
          <w:szCs w:val="44"/>
        </w:rPr>
      </w:pPr>
    </w:p>
    <w:p w14:paraId="24AF3A6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p>
    <w:p w14:paraId="7D0062F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p>
    <w:p w14:paraId="3A85C1E1">
      <w:pPr>
        <w:keepNext w:val="0"/>
        <w:keepLines w:val="0"/>
        <w:pageBreakBefore w:val="0"/>
        <w:widowControl w:val="0"/>
        <w:kinsoku/>
        <w:wordWrap/>
        <w:overflowPunct/>
        <w:topLinePunct w:val="0"/>
        <w:autoSpaceDE/>
        <w:autoSpaceDN/>
        <w:bidi w:val="0"/>
        <w:adjustRightInd/>
        <w:snapToGrid/>
        <w:spacing w:line="74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肃</w:t>
      </w:r>
    </w:p>
    <w:p w14:paraId="4C5F34AF">
      <w:pPr>
        <w:keepNext w:val="0"/>
        <w:keepLines w:val="0"/>
        <w:pageBreakBefore w:val="0"/>
        <w:widowControl w:val="0"/>
        <w:kinsoku/>
        <w:wordWrap/>
        <w:overflowPunct/>
        <w:topLinePunct w:val="0"/>
        <w:autoSpaceDE/>
        <w:autoSpaceDN/>
        <w:bidi w:val="0"/>
        <w:adjustRightInd/>
        <w:snapToGrid/>
        <w:spacing w:line="74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南</w:t>
      </w:r>
    </w:p>
    <w:p w14:paraId="4AC1CCD9">
      <w:pPr>
        <w:keepNext w:val="0"/>
        <w:keepLines w:val="0"/>
        <w:pageBreakBefore w:val="0"/>
        <w:widowControl w:val="0"/>
        <w:kinsoku/>
        <w:wordWrap/>
        <w:overflowPunct/>
        <w:topLinePunct w:val="0"/>
        <w:autoSpaceDE/>
        <w:autoSpaceDN/>
        <w:bidi w:val="0"/>
        <w:adjustRightInd/>
        <w:snapToGrid/>
        <w:spacing w:line="74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县</w:t>
      </w:r>
    </w:p>
    <w:p w14:paraId="6F5D7B11">
      <w:pPr>
        <w:keepNext w:val="0"/>
        <w:keepLines w:val="0"/>
        <w:pageBreakBefore w:val="0"/>
        <w:widowControl w:val="0"/>
        <w:kinsoku/>
        <w:wordWrap/>
        <w:overflowPunct/>
        <w:topLinePunct w:val="0"/>
        <w:autoSpaceDE/>
        <w:autoSpaceDN/>
        <w:bidi w:val="0"/>
        <w:adjustRightInd/>
        <w:snapToGrid/>
        <w:spacing w:line="74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突</w:t>
      </w:r>
    </w:p>
    <w:p w14:paraId="3433BC1A">
      <w:pPr>
        <w:keepNext w:val="0"/>
        <w:keepLines w:val="0"/>
        <w:pageBreakBefore w:val="0"/>
        <w:widowControl w:val="0"/>
        <w:kinsoku/>
        <w:wordWrap/>
        <w:overflowPunct/>
        <w:topLinePunct w:val="0"/>
        <w:autoSpaceDE/>
        <w:autoSpaceDN/>
        <w:bidi w:val="0"/>
        <w:adjustRightInd/>
        <w:snapToGrid/>
        <w:spacing w:line="74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发</w:t>
      </w:r>
    </w:p>
    <w:p w14:paraId="48FF4849">
      <w:pPr>
        <w:keepNext w:val="0"/>
        <w:keepLines w:val="0"/>
        <w:pageBreakBefore w:val="0"/>
        <w:widowControl w:val="0"/>
        <w:kinsoku/>
        <w:wordWrap/>
        <w:overflowPunct/>
        <w:topLinePunct w:val="0"/>
        <w:autoSpaceDE/>
        <w:autoSpaceDN/>
        <w:bidi w:val="0"/>
        <w:adjustRightInd/>
        <w:snapToGrid/>
        <w:spacing w:line="74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环</w:t>
      </w:r>
    </w:p>
    <w:p w14:paraId="36BB2F51">
      <w:pPr>
        <w:keepNext w:val="0"/>
        <w:keepLines w:val="0"/>
        <w:pageBreakBefore w:val="0"/>
        <w:widowControl w:val="0"/>
        <w:kinsoku/>
        <w:wordWrap/>
        <w:overflowPunct/>
        <w:topLinePunct w:val="0"/>
        <w:autoSpaceDE/>
        <w:autoSpaceDN/>
        <w:bidi w:val="0"/>
        <w:adjustRightInd/>
        <w:snapToGrid/>
        <w:spacing w:line="74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境</w:t>
      </w:r>
    </w:p>
    <w:p w14:paraId="7678F4D8">
      <w:pPr>
        <w:keepNext w:val="0"/>
        <w:keepLines w:val="0"/>
        <w:pageBreakBefore w:val="0"/>
        <w:widowControl w:val="0"/>
        <w:kinsoku/>
        <w:wordWrap/>
        <w:overflowPunct/>
        <w:topLinePunct w:val="0"/>
        <w:autoSpaceDE/>
        <w:autoSpaceDN/>
        <w:bidi w:val="0"/>
        <w:adjustRightInd/>
        <w:snapToGrid/>
        <w:spacing w:line="74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事</w:t>
      </w:r>
    </w:p>
    <w:p w14:paraId="53298932">
      <w:pPr>
        <w:keepNext w:val="0"/>
        <w:keepLines w:val="0"/>
        <w:pageBreakBefore w:val="0"/>
        <w:widowControl w:val="0"/>
        <w:kinsoku/>
        <w:wordWrap/>
        <w:overflowPunct/>
        <w:topLinePunct w:val="0"/>
        <w:autoSpaceDE/>
        <w:autoSpaceDN/>
        <w:bidi w:val="0"/>
        <w:adjustRightInd/>
        <w:snapToGrid/>
        <w:spacing w:line="74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件</w:t>
      </w:r>
    </w:p>
    <w:p w14:paraId="2EC2B631">
      <w:pPr>
        <w:keepNext w:val="0"/>
        <w:keepLines w:val="0"/>
        <w:pageBreakBefore w:val="0"/>
        <w:widowControl w:val="0"/>
        <w:kinsoku/>
        <w:wordWrap/>
        <w:overflowPunct/>
        <w:topLinePunct w:val="0"/>
        <w:autoSpaceDE/>
        <w:autoSpaceDN/>
        <w:bidi w:val="0"/>
        <w:adjustRightInd/>
        <w:snapToGrid/>
        <w:spacing w:line="74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行</w:t>
      </w:r>
    </w:p>
    <w:p w14:paraId="3289AFA3">
      <w:pPr>
        <w:keepNext w:val="0"/>
        <w:keepLines w:val="0"/>
        <w:pageBreakBefore w:val="0"/>
        <w:widowControl w:val="0"/>
        <w:kinsoku/>
        <w:wordWrap/>
        <w:overflowPunct/>
        <w:topLinePunct w:val="0"/>
        <w:autoSpaceDE/>
        <w:autoSpaceDN/>
        <w:bidi w:val="0"/>
        <w:adjustRightInd/>
        <w:snapToGrid/>
        <w:spacing w:line="74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动</w:t>
      </w:r>
    </w:p>
    <w:p w14:paraId="69172E68">
      <w:pPr>
        <w:keepNext w:val="0"/>
        <w:keepLines w:val="0"/>
        <w:pageBreakBefore w:val="0"/>
        <w:widowControl w:val="0"/>
        <w:kinsoku/>
        <w:wordWrap/>
        <w:overflowPunct/>
        <w:topLinePunct w:val="0"/>
        <w:autoSpaceDE/>
        <w:autoSpaceDN/>
        <w:bidi w:val="0"/>
        <w:adjustRightInd/>
        <w:snapToGrid/>
        <w:spacing w:line="74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方</w:t>
      </w:r>
    </w:p>
    <w:p w14:paraId="6E4C5342">
      <w:pPr>
        <w:keepNext w:val="0"/>
        <w:keepLines w:val="0"/>
        <w:pageBreakBefore w:val="0"/>
        <w:widowControl w:val="0"/>
        <w:kinsoku/>
        <w:wordWrap/>
        <w:overflowPunct/>
        <w:topLinePunct w:val="0"/>
        <w:autoSpaceDE/>
        <w:autoSpaceDN/>
        <w:bidi w:val="0"/>
        <w:adjustRightInd/>
        <w:snapToGrid/>
        <w:spacing w:line="74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案</w:t>
      </w:r>
    </w:p>
    <w:p w14:paraId="30345CAE">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p w14:paraId="656C7394">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小标宋简体" w:cs="Times New Roman"/>
          <w:sz w:val="44"/>
          <w:szCs w:val="44"/>
        </w:rPr>
      </w:pPr>
    </w:p>
    <w:p w14:paraId="35307E0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bookmarkStart w:id="103" w:name="heading_103"/>
      <w:r>
        <w:rPr>
          <w:rFonts w:hint="default" w:ascii="Times New Roman" w:hAnsi="Times New Roman" w:eastAsia="方正小标宋简体" w:cs="Times New Roman"/>
          <w:sz w:val="44"/>
          <w:szCs w:val="44"/>
        </w:rPr>
        <w:t>肃南县突发生态环境事件</w:t>
      </w:r>
      <w:bookmarkStart w:id="131" w:name="_GoBack"/>
      <w:bookmarkEnd w:id="131"/>
      <w:r>
        <w:rPr>
          <w:rFonts w:hint="default" w:ascii="Times New Roman" w:hAnsi="Times New Roman" w:eastAsia="方正小标宋简体" w:cs="Times New Roman"/>
          <w:sz w:val="44"/>
          <w:szCs w:val="44"/>
        </w:rPr>
        <w:t>行动方案</w:t>
      </w:r>
    </w:p>
    <w:p w14:paraId="017F46FA">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p w14:paraId="508496BE">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bookmarkEnd w:id="103"/>
    <w:p w14:paraId="705483C4">
      <w:pPr>
        <w:pStyle w:val="2"/>
        <w:spacing w:line="600" w:lineRule="exact"/>
        <w:ind w:firstLine="640" w:firstLineChars="200"/>
        <w:jc w:val="left"/>
        <w:outlineLvl w:val="1"/>
        <w:rPr>
          <w:rFonts w:hint="default" w:ascii="楷体_GB2312" w:hAnsi="楷体_GB2312" w:eastAsia="楷体_GB2312" w:cs="楷体_GB2312"/>
          <w:b/>
          <w:bCs/>
          <w:color w:val="000000"/>
          <w:kern w:val="0"/>
          <w:sz w:val="32"/>
          <w:szCs w:val="32"/>
          <w:shd w:val="clear" w:color="auto" w:fill="FFFFFF"/>
          <w:lang w:bidi="ar"/>
        </w:rPr>
      </w:pPr>
      <w:bookmarkStart w:id="104" w:name="_Toc977010840"/>
      <w:r>
        <w:rPr>
          <w:rFonts w:hint="eastAsia" w:ascii="仿宋_GB2312" w:hAnsi="仿宋_GB2312" w:eastAsia="仿宋_GB2312" w:cs="仿宋_GB2312"/>
          <w:sz w:val="32"/>
          <w:szCs w:val="32"/>
          <w:lang w:val="en-US" w:eastAsia="zh-CN"/>
        </w:rPr>
        <w:t>生态环境行动方案依据</w:t>
      </w:r>
      <w:r>
        <w:rPr>
          <w:rFonts w:hint="eastAsia" w:ascii="仿宋_GB2312" w:hAnsi="仿宋_GB2312" w:eastAsia="仿宋_GB2312" w:cs="仿宋_GB2312"/>
          <w:color w:val="000000"/>
          <w:kern w:val="0"/>
          <w:sz w:val="32"/>
          <w:szCs w:val="32"/>
          <w:shd w:val="clear" w:color="auto" w:fill="FFFFFF"/>
          <w:lang w:val="en-US" w:eastAsia="zh-CN" w:bidi="ar"/>
        </w:rPr>
        <w:t>：</w:t>
      </w:r>
      <w:r>
        <w:rPr>
          <w:rFonts w:ascii="Times New Roman" w:hAnsi="Times New Roman" w:eastAsia="仿宋_GB2312" w:cs="Times New Roman"/>
          <w:color w:val="000000"/>
          <w:kern w:val="0"/>
          <w:sz w:val="32"/>
          <w:szCs w:val="32"/>
          <w:shd w:val="clear" w:color="auto" w:fill="FFFFFF"/>
          <w:lang w:val="en-US" w:eastAsia="zh-CN" w:bidi="ar"/>
        </w:rPr>
        <w:t>生态环境部门安全</w:t>
      </w:r>
      <w:bookmarkStart w:id="105" w:name="_Toc1452149204_WPSOffice_Level2"/>
      <w:r>
        <w:rPr>
          <w:rFonts w:ascii="Times New Roman" w:hAnsi="Times New Roman" w:eastAsia="仿宋_GB2312" w:cs="Times New Roman"/>
          <w:color w:val="000000"/>
          <w:kern w:val="0"/>
          <w:sz w:val="32"/>
          <w:szCs w:val="32"/>
          <w:shd w:val="clear" w:color="auto" w:fill="FFFFFF"/>
          <w:lang w:val="en-US" w:eastAsia="zh-CN" w:bidi="ar"/>
        </w:rPr>
        <w:t>生产责任有关规定</w:t>
      </w:r>
      <w:bookmarkEnd w:id="105"/>
      <w:r>
        <w:rPr>
          <w:rFonts w:ascii="楷体_GB2312" w:hAnsi="楷体_GB2312" w:eastAsia="楷体_GB2312" w:cs="楷体_GB2312"/>
          <w:b/>
          <w:bCs/>
          <w:color w:val="000000"/>
          <w:kern w:val="0"/>
          <w:sz w:val="32"/>
          <w:szCs w:val="32"/>
          <w:shd w:val="clear" w:color="auto" w:fill="FFFFFF"/>
          <w:lang w:bidi="ar"/>
        </w:rPr>
        <w:t>《张掖市安全生产委员会及成员单位安全生产工作职责》中，规定市生态环境局负责：</w:t>
      </w:r>
      <w:bookmarkEnd w:id="104"/>
    </w:p>
    <w:p w14:paraId="138F98E0">
      <w:pPr>
        <w:overflowPunct w:val="0"/>
        <w:spacing w:line="600" w:lineRule="exact"/>
        <w:ind w:firstLine="640" w:firstLineChars="200"/>
        <w:rPr>
          <w:rFonts w:hint="default" w:ascii="Times New Roman" w:hAnsi="Times New Roman" w:eastAsia="仿宋_GB2312" w:cs="Times New Roman"/>
          <w:color w:val="000000"/>
          <w:kern w:val="0"/>
          <w:sz w:val="32"/>
          <w:szCs w:val="32"/>
          <w:shd w:val="clear" w:color="auto" w:fill="FFFFFF"/>
          <w:lang w:bidi="ar"/>
        </w:rPr>
      </w:pPr>
      <w:r>
        <w:rPr>
          <w:rFonts w:hint="default" w:ascii="Times New Roman" w:hAnsi="Times New Roman" w:eastAsia="仿宋_GB2312" w:cs="Times New Roman"/>
          <w:color w:val="000000"/>
          <w:kern w:val="0"/>
          <w:sz w:val="32"/>
          <w:szCs w:val="32"/>
          <w:shd w:val="clear" w:color="auto" w:fill="FFFFFF"/>
          <w:lang w:bidi="ar"/>
        </w:rPr>
        <w:t>（1）依法对废弃危险化学品等危险废物的收集、贮存、处置等进行安全监督管理，防止人身伤亡和财产损失事故发生。按照职责分工调查相关危险化学品环境污染事故和生态破坏事件，负责危险化学品事故现场的应急环境监测。</w:t>
      </w:r>
    </w:p>
    <w:p w14:paraId="05B4CD1A">
      <w:pPr>
        <w:overflowPunct w:val="0"/>
        <w:spacing w:line="600" w:lineRule="exact"/>
        <w:ind w:firstLine="640" w:firstLineChars="200"/>
        <w:rPr>
          <w:rFonts w:hint="default" w:ascii="Times New Roman" w:hAnsi="Times New Roman" w:eastAsia="仿宋_GB2312" w:cs="Times New Roman"/>
          <w:color w:val="000000"/>
          <w:kern w:val="0"/>
          <w:sz w:val="32"/>
          <w:szCs w:val="32"/>
          <w:shd w:val="clear" w:color="auto" w:fill="FFFFFF"/>
          <w:lang w:bidi="ar"/>
        </w:rPr>
      </w:pPr>
      <w:r>
        <w:rPr>
          <w:rFonts w:hint="default" w:ascii="Times New Roman" w:hAnsi="Times New Roman" w:eastAsia="仿宋_GB2312" w:cs="Times New Roman"/>
          <w:color w:val="000000"/>
          <w:kern w:val="0"/>
          <w:sz w:val="32"/>
          <w:szCs w:val="32"/>
          <w:shd w:val="clear" w:color="auto" w:fill="FFFFFF"/>
          <w:lang w:bidi="ar"/>
        </w:rPr>
        <w:t>（2）监督破坏生态环境、污染严重的矿井关闭工作。</w:t>
      </w:r>
    </w:p>
    <w:p w14:paraId="69A3BDE8">
      <w:pPr>
        <w:overflowPunct w:val="0"/>
        <w:spacing w:line="600" w:lineRule="exact"/>
        <w:ind w:firstLine="640" w:firstLineChars="200"/>
        <w:rPr>
          <w:rFonts w:hint="default" w:ascii="Times New Roman" w:hAnsi="Times New Roman" w:eastAsia="仿宋_GB2312" w:cs="Times New Roman"/>
          <w:color w:val="000000"/>
          <w:kern w:val="0"/>
          <w:sz w:val="32"/>
          <w:szCs w:val="32"/>
          <w:shd w:val="clear" w:color="auto" w:fill="FFFFFF"/>
          <w:lang w:bidi="ar"/>
        </w:rPr>
      </w:pPr>
      <w:r>
        <w:rPr>
          <w:rFonts w:hint="default" w:ascii="Times New Roman" w:hAnsi="Times New Roman" w:eastAsia="仿宋_GB2312" w:cs="Times New Roman"/>
          <w:color w:val="000000"/>
          <w:kern w:val="0"/>
          <w:sz w:val="32"/>
          <w:szCs w:val="32"/>
          <w:shd w:val="clear" w:color="auto" w:fill="FFFFFF"/>
          <w:lang w:bidi="ar"/>
        </w:rPr>
        <w:t>（3）负责尾矿污染防治的监督管理工作。</w:t>
      </w:r>
    </w:p>
    <w:p w14:paraId="7D6A287E">
      <w:pPr>
        <w:overflowPunct w:val="0"/>
        <w:spacing w:line="600" w:lineRule="exact"/>
        <w:ind w:firstLine="640" w:firstLineChars="200"/>
        <w:rPr>
          <w:rFonts w:hint="default" w:ascii="Times New Roman" w:hAnsi="Times New Roman" w:eastAsia="仿宋_GB2312" w:cs="Times New Roman"/>
          <w:color w:val="000000"/>
          <w:kern w:val="0"/>
          <w:sz w:val="32"/>
          <w:szCs w:val="32"/>
          <w:shd w:val="clear" w:color="auto" w:fill="FFFFFF"/>
          <w:lang w:bidi="ar"/>
        </w:rPr>
      </w:pPr>
      <w:r>
        <w:rPr>
          <w:rFonts w:hint="default" w:ascii="Times New Roman" w:hAnsi="Times New Roman" w:eastAsia="仿宋_GB2312" w:cs="Times New Roman"/>
          <w:color w:val="000000"/>
          <w:kern w:val="0"/>
          <w:sz w:val="32"/>
          <w:szCs w:val="32"/>
          <w:shd w:val="clear" w:color="auto" w:fill="FFFFFF"/>
          <w:lang w:bidi="ar"/>
        </w:rPr>
        <w:t>（4）牵头协调相关较大环境污染事故和生态破坏事件的调查处理，指导协调地方政府开展生产安全事故次生环境污染和其他相关突发环境事件的应急、预警和处置工作。</w:t>
      </w:r>
    </w:p>
    <w:p w14:paraId="6F37D9F8">
      <w:pPr>
        <w:overflowPunct w:val="0"/>
        <w:spacing w:line="600" w:lineRule="exact"/>
        <w:ind w:firstLine="640" w:firstLineChars="200"/>
        <w:rPr>
          <w:rFonts w:hint="default" w:ascii="Times New Roman" w:hAnsi="Times New Roman" w:eastAsia="仿宋_GB2312" w:cs="Times New Roman"/>
          <w:color w:val="000000"/>
          <w:kern w:val="0"/>
          <w:sz w:val="32"/>
          <w:szCs w:val="32"/>
          <w:shd w:val="clear" w:color="auto" w:fill="FFFFFF"/>
          <w:lang w:bidi="ar"/>
        </w:rPr>
      </w:pPr>
      <w:r>
        <w:rPr>
          <w:rFonts w:hint="default" w:ascii="Times New Roman" w:hAnsi="Times New Roman" w:eastAsia="仿宋_GB2312" w:cs="Times New Roman"/>
          <w:color w:val="000000"/>
          <w:kern w:val="0"/>
          <w:sz w:val="32"/>
          <w:szCs w:val="32"/>
          <w:shd w:val="clear" w:color="auto" w:fill="FFFFFF"/>
          <w:lang w:bidi="ar"/>
        </w:rPr>
        <w:t>（5）负责核安全和辐射安全的监督管理。监督管理核设施安全、放射源安全，监督管理核设施、核技术应用、电子辐射、伴有放射性矿产资源开发利用中的污染防治。</w:t>
      </w:r>
    </w:p>
    <w:p w14:paraId="0C66B8FE">
      <w:pPr>
        <w:overflowPunct w:val="0"/>
        <w:spacing w:line="600" w:lineRule="exact"/>
        <w:ind w:firstLine="640" w:firstLineChars="200"/>
        <w:rPr>
          <w:rFonts w:hint="default" w:ascii="Times New Roman" w:hAnsi="Times New Roman" w:eastAsia="仿宋_GB2312" w:cs="Times New Roman"/>
          <w:color w:val="000000"/>
          <w:kern w:val="0"/>
          <w:sz w:val="32"/>
          <w:szCs w:val="32"/>
          <w:shd w:val="clear" w:color="auto" w:fill="FFFFFF"/>
          <w:lang w:bidi="ar"/>
        </w:rPr>
      </w:pPr>
      <w:r>
        <w:rPr>
          <w:rFonts w:hint="default" w:ascii="Times New Roman" w:hAnsi="Times New Roman" w:eastAsia="仿宋_GB2312" w:cs="Times New Roman"/>
          <w:color w:val="000000"/>
          <w:kern w:val="0"/>
          <w:sz w:val="32"/>
          <w:szCs w:val="32"/>
          <w:shd w:val="clear" w:color="auto" w:fill="FFFFFF"/>
          <w:lang w:bidi="ar"/>
        </w:rPr>
        <w:t>（6）指导督促地方和相关企业单位对重点环保设施和项目组织开展安全风险评估和隐患排查治理。</w:t>
      </w:r>
    </w:p>
    <w:p w14:paraId="65320142">
      <w:pPr>
        <w:overflowPunct w:val="0"/>
        <w:spacing w:line="600" w:lineRule="exact"/>
        <w:ind w:firstLine="643" w:firstLineChars="200"/>
        <w:rPr>
          <w:rFonts w:hint="default" w:ascii="Times New Roman" w:hAnsi="Times New Roman" w:eastAsia="楷体_GB2312" w:cs="Times New Roman"/>
          <w:b/>
          <w:bCs/>
          <w:color w:val="000000"/>
          <w:kern w:val="0"/>
          <w:sz w:val="32"/>
          <w:szCs w:val="32"/>
          <w:shd w:val="clear" w:color="auto" w:fill="FFFFFF"/>
          <w:lang w:bidi="ar"/>
        </w:rPr>
      </w:pPr>
      <w:r>
        <w:rPr>
          <w:rFonts w:hint="default" w:ascii="Times New Roman" w:hAnsi="Times New Roman" w:eastAsia="楷体_GB2312" w:cs="Times New Roman"/>
          <w:b/>
          <w:bCs/>
          <w:color w:val="000000"/>
          <w:kern w:val="0"/>
          <w:sz w:val="32"/>
          <w:szCs w:val="32"/>
          <w:shd w:val="clear" w:color="auto" w:fill="FFFFFF"/>
          <w:lang w:bidi="ar"/>
        </w:rPr>
        <w:t>《危险废物转移管理办法》（2021年11月30日生态环境部、公安部、交通运输部令第23号公布自2022年1月1日起施行）规定：</w:t>
      </w:r>
    </w:p>
    <w:p w14:paraId="0B10061A">
      <w:pPr>
        <w:overflowPunct w:val="0"/>
        <w:spacing w:line="600" w:lineRule="exact"/>
        <w:ind w:firstLine="640" w:firstLineChars="200"/>
        <w:rPr>
          <w:rFonts w:hint="default" w:ascii="Times New Roman" w:hAnsi="Times New Roman" w:cs="Times New Roman"/>
          <w:color w:val="000000"/>
          <w:kern w:val="0"/>
          <w:sz w:val="32"/>
          <w:szCs w:val="32"/>
          <w:shd w:val="clear" w:color="auto" w:fill="FFFFFF"/>
          <w:lang w:bidi="ar"/>
        </w:rPr>
      </w:pPr>
      <w:r>
        <w:rPr>
          <w:rFonts w:hint="default" w:ascii="Times New Roman" w:hAnsi="Times New Roman" w:eastAsia="仿宋_GB2312" w:cs="Times New Roman"/>
          <w:color w:val="000000"/>
          <w:kern w:val="0"/>
          <w:sz w:val="32"/>
          <w:szCs w:val="32"/>
          <w:shd w:val="clear" w:color="auto" w:fill="FFFFFF"/>
          <w:lang w:bidi="ar"/>
        </w:rPr>
        <w:t>生态环境主管部门依法对危险废物转移污染环境防治工作以及危险废物转移联单运行实施监督管理，查处危险废物污染环境违法行为。</w:t>
      </w:r>
    </w:p>
    <w:p w14:paraId="3249661B">
      <w:pPr>
        <w:shd w:val="clear" w:color="auto" w:fill="FFFFFF"/>
        <w:overflowPunct w:val="0"/>
        <w:spacing w:line="600" w:lineRule="exact"/>
        <w:ind w:firstLine="643" w:firstLineChars="200"/>
        <w:rPr>
          <w:rFonts w:hint="default" w:ascii="Times New Roman" w:hAnsi="Times New Roman" w:eastAsia="楷体_GB2312" w:cs="Times New Roman"/>
          <w:b/>
          <w:bCs/>
          <w:color w:val="000000"/>
          <w:kern w:val="0"/>
          <w:sz w:val="32"/>
          <w:szCs w:val="32"/>
          <w:shd w:val="clear" w:color="auto" w:fill="FFFFFF"/>
          <w:lang w:bidi="ar"/>
        </w:rPr>
      </w:pPr>
      <w:r>
        <w:rPr>
          <w:rFonts w:hint="default" w:ascii="Times New Roman" w:hAnsi="Times New Roman" w:eastAsia="楷体_GB2312" w:cs="Times New Roman"/>
          <w:b/>
          <w:bCs/>
          <w:color w:val="000000"/>
          <w:kern w:val="0"/>
          <w:sz w:val="32"/>
          <w:szCs w:val="32"/>
          <w:shd w:val="clear" w:color="auto" w:fill="FFFFFF"/>
          <w:lang w:bidi="ar"/>
        </w:rPr>
        <w:t>《危险化学品安全管理条例》（国务院令第591号）规定：</w:t>
      </w:r>
    </w:p>
    <w:p w14:paraId="44AC87E4">
      <w:pPr>
        <w:shd w:val="clear" w:color="auto" w:fill="FFFFFF"/>
        <w:overflowPunct w:val="0"/>
        <w:spacing w:line="600" w:lineRule="exact"/>
        <w:ind w:firstLine="640" w:firstLineChars="200"/>
        <w:rPr>
          <w:rFonts w:hint="default" w:ascii="Times New Roman" w:hAnsi="Times New Roman" w:eastAsia="仿宋_GB2312" w:cs="Times New Roman"/>
          <w:color w:val="000000"/>
          <w:kern w:val="0"/>
          <w:sz w:val="32"/>
          <w:szCs w:val="32"/>
          <w:shd w:val="clear" w:color="auto" w:fill="FFFFFF"/>
          <w:lang w:bidi="ar"/>
        </w:rPr>
      </w:pPr>
      <w:r>
        <w:rPr>
          <w:rFonts w:hint="default" w:ascii="Times New Roman" w:hAnsi="Times New Roman" w:eastAsia="仿宋_GB2312" w:cs="Times New Roman"/>
          <w:color w:val="000000"/>
          <w:kern w:val="0"/>
          <w:sz w:val="32"/>
          <w:szCs w:val="32"/>
          <w:shd w:val="clear" w:color="auto" w:fill="FFFFFF"/>
          <w:lang w:bidi="ar"/>
        </w:rPr>
        <w:t>环境保护主管部门负责废弃危险化学品处置的监督管理，组织危险化学品的环境危害性鉴定和环境风险程度评估，确定实施重点环境管理的危险化学品，负责危险化学品环境管理登记和新化学物质环境管理登记;依照职责分工调查相关危险化学品环境污染事故和生态破坏事件，负责危险化学品事故现场的应急环境监测。</w:t>
      </w:r>
    </w:p>
    <w:p w14:paraId="60F87E35">
      <w:pPr>
        <w:shd w:val="clear" w:color="auto" w:fill="FFFFFF"/>
        <w:overflowPunct w:val="0"/>
        <w:spacing w:line="600" w:lineRule="exact"/>
        <w:ind w:firstLine="643" w:firstLineChars="200"/>
        <w:rPr>
          <w:rFonts w:hint="default" w:ascii="Times New Roman" w:hAnsi="Times New Roman" w:eastAsia="楷体_GB2312" w:cs="Times New Roman"/>
          <w:b/>
          <w:bCs/>
          <w:color w:val="000000"/>
          <w:kern w:val="0"/>
          <w:sz w:val="32"/>
          <w:szCs w:val="32"/>
          <w:shd w:val="clear" w:color="auto" w:fill="FFFFFF"/>
          <w:lang w:bidi="ar"/>
        </w:rPr>
      </w:pPr>
      <w:r>
        <w:rPr>
          <w:rFonts w:hint="default" w:ascii="Times New Roman" w:hAnsi="Times New Roman" w:eastAsia="楷体_GB2312" w:cs="Times New Roman"/>
          <w:b/>
          <w:bCs/>
          <w:color w:val="000000"/>
          <w:kern w:val="0"/>
          <w:sz w:val="32"/>
          <w:szCs w:val="32"/>
          <w:shd w:val="clear" w:color="auto" w:fill="FFFFFF"/>
          <w:lang w:bidi="ar"/>
        </w:rPr>
        <w:t>《甘肃省尾矿库监督管理试行办法》（甘肃省人民政府令第137号）规定：</w:t>
      </w:r>
    </w:p>
    <w:p w14:paraId="24372A10">
      <w:pPr>
        <w:shd w:val="clear" w:color="auto" w:fill="FFFFFF"/>
        <w:overflowPunct w:val="0"/>
        <w:spacing w:line="600" w:lineRule="exact"/>
        <w:ind w:firstLine="640" w:firstLineChars="200"/>
        <w:rPr>
          <w:rFonts w:hint="default" w:ascii="Times New Roman" w:hAnsi="Times New Roman" w:eastAsia="仿宋_GB2312" w:cs="Times New Roman"/>
          <w:color w:val="000000"/>
          <w:kern w:val="0"/>
          <w:sz w:val="32"/>
          <w:szCs w:val="32"/>
          <w:shd w:val="clear" w:color="auto" w:fill="FFFFFF"/>
          <w:lang w:bidi="ar"/>
        </w:rPr>
      </w:pPr>
      <w:r>
        <w:rPr>
          <w:rFonts w:hint="default" w:ascii="Times New Roman" w:hAnsi="Times New Roman" w:eastAsia="仿宋_GB2312" w:cs="Times New Roman"/>
          <w:color w:val="000000"/>
          <w:kern w:val="0"/>
          <w:sz w:val="32"/>
          <w:szCs w:val="32"/>
          <w:shd w:val="clear" w:color="auto" w:fill="FFFFFF"/>
          <w:lang w:bidi="ar"/>
        </w:rPr>
        <w:t>环境保护部门对本辖区内的尾矿污染防治实施统一监督管理，并履行以下职责：</w:t>
      </w:r>
    </w:p>
    <w:p w14:paraId="16169FDC">
      <w:pPr>
        <w:shd w:val="clear" w:color="auto" w:fill="FFFFFF"/>
        <w:overflowPunct w:val="0"/>
        <w:spacing w:line="600" w:lineRule="exact"/>
        <w:ind w:firstLine="596" w:firstLineChars="200"/>
        <w:rPr>
          <w:rFonts w:hint="default" w:ascii="Times New Roman" w:hAnsi="Times New Roman" w:eastAsia="仿宋_GB2312" w:cs="Times New Roman"/>
          <w:color w:val="000000"/>
          <w:spacing w:val="-11"/>
          <w:kern w:val="0"/>
          <w:sz w:val="32"/>
          <w:szCs w:val="32"/>
          <w:shd w:val="clear" w:color="auto" w:fill="FFFFFF"/>
          <w:lang w:bidi="ar"/>
        </w:rPr>
      </w:pPr>
      <w:r>
        <w:rPr>
          <w:rFonts w:hint="default" w:ascii="Times New Roman" w:hAnsi="Times New Roman" w:eastAsia="仿宋_GB2312" w:cs="Times New Roman"/>
          <w:color w:val="000000"/>
          <w:spacing w:val="-11"/>
          <w:kern w:val="0"/>
          <w:sz w:val="32"/>
          <w:szCs w:val="32"/>
          <w:shd w:val="clear" w:color="auto" w:fill="FFFFFF"/>
          <w:lang w:bidi="ar"/>
        </w:rPr>
        <w:t>（1）负责尾矿库建设项目环境影响评价审批、环境保护设施竣工验收以及环境保护设施的监督管理，以及尾矿库生产经营单位排污许可证发放，督促尾矿库生产经营单位开展环境风险评估，依法查处建设运营造成环境污染和生态破坏问题的尾矿库；</w:t>
      </w:r>
    </w:p>
    <w:p w14:paraId="45CC954C">
      <w:pPr>
        <w:shd w:val="clear" w:color="auto" w:fill="FFFFFF"/>
        <w:overflowPunct w:val="0"/>
        <w:spacing w:line="600" w:lineRule="exact"/>
        <w:ind w:firstLine="640" w:firstLineChars="200"/>
        <w:rPr>
          <w:rFonts w:hint="default" w:ascii="Times New Roman" w:hAnsi="Times New Roman" w:eastAsia="仿宋_GB2312" w:cs="Times New Roman"/>
          <w:color w:val="000000"/>
          <w:kern w:val="0"/>
          <w:sz w:val="32"/>
          <w:szCs w:val="32"/>
          <w:shd w:val="clear" w:color="auto" w:fill="FFFFFF"/>
          <w:lang w:bidi="ar"/>
        </w:rPr>
      </w:pPr>
      <w:r>
        <w:rPr>
          <w:rFonts w:hint="default" w:ascii="Times New Roman" w:hAnsi="Times New Roman" w:eastAsia="仿宋_GB2312" w:cs="Times New Roman"/>
          <w:color w:val="000000"/>
          <w:kern w:val="0"/>
          <w:sz w:val="32"/>
          <w:szCs w:val="32"/>
          <w:shd w:val="clear" w:color="auto" w:fill="FFFFFF"/>
          <w:lang w:bidi="ar"/>
        </w:rPr>
        <w:t>（2）督促尾矿库生产经营单位进行排污申报登记和固体废物申报，加强对尾矿库防扬散、防流失、防渗漏、污水处理设施或者其他防止污染环境设施的检查，对尾矿库下游一公里（含一公里）距离内危险废物收集、贮存、处置设施的监督检查；</w:t>
      </w:r>
    </w:p>
    <w:p w14:paraId="5CD8322E">
      <w:pPr>
        <w:shd w:val="clear" w:color="auto" w:fill="FFFFFF"/>
        <w:overflowPunct w:val="0"/>
        <w:spacing w:line="600" w:lineRule="exact"/>
        <w:ind w:firstLine="640" w:firstLineChars="200"/>
        <w:rPr>
          <w:rFonts w:hint="default" w:ascii="Times New Roman" w:hAnsi="Times New Roman" w:eastAsia="仿宋_GB2312" w:cs="Times New Roman"/>
          <w:color w:val="000000"/>
          <w:kern w:val="0"/>
          <w:sz w:val="32"/>
          <w:szCs w:val="32"/>
          <w:shd w:val="clear" w:color="auto" w:fill="FFFFFF"/>
          <w:lang w:bidi="ar"/>
        </w:rPr>
      </w:pPr>
      <w:r>
        <w:rPr>
          <w:rFonts w:hint="default" w:ascii="Times New Roman" w:hAnsi="Times New Roman" w:eastAsia="仿宋_GB2312" w:cs="Times New Roman"/>
          <w:color w:val="000000"/>
          <w:kern w:val="0"/>
          <w:sz w:val="32"/>
          <w:szCs w:val="32"/>
          <w:shd w:val="clear" w:color="auto" w:fill="FFFFFF"/>
          <w:lang w:bidi="ar"/>
        </w:rPr>
        <w:t>（3）对不正常使用污染防治设施，或者擅自拆除、闲置污染防治设施的尾矿库，责令其生产经营单位限期改正并依法予以处罚；</w:t>
      </w:r>
    </w:p>
    <w:p w14:paraId="51F90C4F">
      <w:pPr>
        <w:shd w:val="clear" w:color="auto" w:fill="FFFFFF"/>
        <w:overflowPunct w:val="0"/>
        <w:spacing w:line="600" w:lineRule="exact"/>
        <w:ind w:firstLine="640" w:firstLineChars="200"/>
        <w:rPr>
          <w:rFonts w:hint="default" w:ascii="Times New Roman" w:hAnsi="Times New Roman" w:eastAsia="仿宋_GB2312" w:cs="Times New Roman"/>
          <w:color w:val="000000"/>
          <w:kern w:val="0"/>
          <w:sz w:val="32"/>
          <w:szCs w:val="32"/>
          <w:shd w:val="clear" w:color="auto" w:fill="FFFFFF"/>
          <w:lang w:bidi="ar"/>
        </w:rPr>
      </w:pPr>
      <w:r>
        <w:rPr>
          <w:rFonts w:hint="default" w:ascii="Times New Roman" w:hAnsi="Times New Roman" w:eastAsia="仿宋_GB2312" w:cs="Times New Roman"/>
          <w:color w:val="000000"/>
          <w:kern w:val="0"/>
          <w:sz w:val="32"/>
          <w:szCs w:val="32"/>
          <w:shd w:val="clear" w:color="auto" w:fill="FFFFFF"/>
          <w:lang w:bidi="ar"/>
        </w:rPr>
        <w:t>（4）对尾矿库环境安全隐患进行监督检查，对存在重大环境隐患的尾矿库，或者已造成环境污染的尾矿库，责令生产经营单位限期整治；</w:t>
      </w:r>
    </w:p>
    <w:p w14:paraId="547682FC">
      <w:pPr>
        <w:shd w:val="clear" w:color="auto" w:fill="FFFFFF"/>
        <w:overflowPunct w:val="0"/>
        <w:spacing w:line="600" w:lineRule="exact"/>
        <w:ind w:firstLine="616" w:firstLineChars="200"/>
        <w:rPr>
          <w:rFonts w:hint="default" w:ascii="Times New Roman" w:hAnsi="Times New Roman" w:eastAsia="仿宋_GB2312" w:cs="Times New Roman"/>
          <w:color w:val="000000"/>
          <w:spacing w:val="-6"/>
          <w:kern w:val="0"/>
          <w:sz w:val="32"/>
          <w:szCs w:val="32"/>
          <w:shd w:val="clear" w:color="auto" w:fill="FFFFFF"/>
          <w:lang w:bidi="ar"/>
        </w:rPr>
      </w:pPr>
      <w:r>
        <w:rPr>
          <w:rFonts w:hint="default" w:ascii="Times New Roman" w:hAnsi="Times New Roman" w:eastAsia="仿宋_GB2312" w:cs="Times New Roman"/>
          <w:color w:val="000000"/>
          <w:spacing w:val="-6"/>
          <w:kern w:val="0"/>
          <w:sz w:val="32"/>
          <w:szCs w:val="32"/>
          <w:shd w:val="clear" w:color="auto" w:fill="FFFFFF"/>
          <w:lang w:bidi="ar"/>
        </w:rPr>
        <w:t>（5）加强对突发环境事件应急预案的管理，指导企业定期开展环境应急演练，建设应急设施，储备必要的应急物资和装备；</w:t>
      </w:r>
    </w:p>
    <w:p w14:paraId="20D9BA82">
      <w:pPr>
        <w:shd w:val="clear" w:color="auto" w:fill="FFFFFF"/>
        <w:overflowPunct w:val="0"/>
        <w:spacing w:line="600" w:lineRule="exact"/>
        <w:ind w:firstLine="640" w:firstLineChars="200"/>
        <w:rPr>
          <w:rFonts w:hint="default" w:ascii="Times New Roman" w:hAnsi="Times New Roman" w:eastAsia="仿宋_GB2312" w:cs="Times New Roman"/>
          <w:color w:val="000000"/>
          <w:kern w:val="0"/>
          <w:sz w:val="32"/>
          <w:szCs w:val="32"/>
          <w:shd w:val="clear" w:color="auto" w:fill="FFFFFF"/>
          <w:lang w:bidi="ar"/>
        </w:rPr>
      </w:pPr>
      <w:r>
        <w:rPr>
          <w:rFonts w:hint="default" w:ascii="Times New Roman" w:hAnsi="Times New Roman" w:eastAsia="仿宋_GB2312" w:cs="Times New Roman"/>
          <w:color w:val="000000"/>
          <w:kern w:val="0"/>
          <w:sz w:val="32"/>
          <w:szCs w:val="32"/>
          <w:shd w:val="clear" w:color="auto" w:fill="FFFFFF"/>
          <w:lang w:bidi="ar"/>
        </w:rPr>
        <w:t>（6）对无尾矿设施或者尾矿设施不完善并严重污染环境的企业，应当依法报同级人民政府，并督促其限期建成或者完善，可以采取限制生产、停产整治等措施限期治理；</w:t>
      </w:r>
    </w:p>
    <w:p w14:paraId="1000DBAD">
      <w:pPr>
        <w:shd w:val="clear" w:color="auto" w:fill="FFFFFF"/>
        <w:overflowPunct w:val="0"/>
        <w:spacing w:line="600" w:lineRule="exact"/>
        <w:ind w:firstLine="640" w:firstLineChars="200"/>
        <w:rPr>
          <w:rFonts w:hint="default" w:ascii="Times New Roman" w:hAnsi="Times New Roman" w:eastAsia="仿宋_GB2312" w:cs="Times New Roman"/>
          <w:color w:val="000000"/>
          <w:kern w:val="0"/>
          <w:sz w:val="32"/>
          <w:szCs w:val="32"/>
          <w:shd w:val="clear" w:color="auto" w:fill="FFFFFF"/>
          <w:lang w:bidi="ar"/>
        </w:rPr>
      </w:pPr>
      <w:r>
        <w:rPr>
          <w:rFonts w:hint="default" w:ascii="Times New Roman" w:hAnsi="Times New Roman" w:eastAsia="仿宋_GB2312" w:cs="Times New Roman"/>
          <w:color w:val="000000"/>
          <w:kern w:val="0"/>
          <w:sz w:val="32"/>
          <w:szCs w:val="32"/>
          <w:shd w:val="clear" w:color="auto" w:fill="FFFFFF"/>
          <w:lang w:bidi="ar"/>
        </w:rPr>
        <w:t>（7）负责监督、指导尾矿库闭库工程环境保护、有毒有害物质的监测检验，监督、指导闭库后库区环境恢复工作。</w:t>
      </w:r>
    </w:p>
    <w:p w14:paraId="23D1CE86">
      <w:pPr>
        <w:overflowPunct w:val="0"/>
        <w:spacing w:line="600" w:lineRule="exact"/>
        <w:ind w:firstLine="643" w:firstLineChars="200"/>
        <w:rPr>
          <w:rFonts w:hint="default" w:ascii="Times New Roman" w:hAnsi="Times New Roman" w:eastAsia="楷体_GB2312" w:cs="Times New Roman"/>
          <w:b/>
          <w:bCs/>
          <w:color w:val="000000"/>
          <w:kern w:val="0"/>
          <w:sz w:val="32"/>
          <w:szCs w:val="32"/>
          <w:shd w:val="clear" w:color="auto" w:fill="FFFFFF"/>
          <w:lang w:bidi="ar"/>
        </w:rPr>
      </w:pPr>
      <w:r>
        <w:rPr>
          <w:rFonts w:hint="default" w:ascii="Times New Roman" w:hAnsi="Times New Roman" w:eastAsia="楷体_GB2312" w:cs="Times New Roman"/>
          <w:b/>
          <w:bCs/>
          <w:color w:val="000000"/>
          <w:kern w:val="0"/>
          <w:sz w:val="32"/>
          <w:szCs w:val="32"/>
          <w:shd w:val="clear" w:color="auto" w:fill="FFFFFF"/>
          <w:lang w:bidi="ar"/>
        </w:rPr>
        <w:t>国务院安委会办公室、生态环境部、应急管理部印发《关于进一步加强环保设备设施安全生产工作的通知》（安委办明电〔2022〕17号）规定：</w:t>
      </w:r>
    </w:p>
    <w:p w14:paraId="7057AD77">
      <w:pPr>
        <w:overflowPunct w:val="0"/>
        <w:spacing w:line="600" w:lineRule="exact"/>
        <w:ind w:firstLine="640" w:firstLineChars="200"/>
        <w:rPr>
          <w:rFonts w:hint="default" w:ascii="Times New Roman" w:hAnsi="Times New Roman" w:eastAsia="仿宋_GB2312" w:cs="Times New Roman"/>
          <w:color w:val="000000"/>
          <w:kern w:val="0"/>
          <w:sz w:val="32"/>
          <w:szCs w:val="32"/>
          <w:shd w:val="clear" w:color="auto" w:fill="FFFFFF"/>
          <w:lang w:bidi="ar"/>
        </w:rPr>
      </w:pPr>
      <w:r>
        <w:rPr>
          <w:rFonts w:hint="default" w:ascii="Times New Roman" w:hAnsi="Times New Roman" w:eastAsia="仿宋_GB2312" w:cs="Times New Roman"/>
          <w:color w:val="000000"/>
          <w:kern w:val="0"/>
          <w:sz w:val="32"/>
          <w:szCs w:val="32"/>
          <w:shd w:val="clear" w:color="auto" w:fill="FFFFFF"/>
          <w:lang w:bidi="ar"/>
        </w:rPr>
        <w:t>各有关部门要按照“管行业必须管安全、管业务必须管安全、管生产经营必须管安全”和“谁主管谁负责”的原则，靠前一步，主动作为，将环保设备设施安全作为行业领域安全工作的重要内容，切实承担起安全监督管理和指导责任.要高度关注新增环保设备设施带来的安全问题，提出推广环保新工艺、新技术、新产品的同时要充分考虑安全因素’及时组织相关标委会制修订相应的标准规范。在制修订涉及环保设备设施工程项目、工艺设计、产品技术、控制技术和运行管理的标准规范时，要提出明确具体的安全要求，采用成熟安全可靠的工艺和技术。要紧盯具有脱硫脱硝、挥发性有机物回收、污水处理、粉尘治理、蓄热式焚烧炉5类重点环保设备设施的企业，指导督促企业按照相关法律法规和技术标准规范要求，开展环保设备设施安全风险辨识评估和隐患排查治理’落实安全生产各项责任措施。要进一步强化服务意识，既严格执法又热情服务，充分发挥专家作用，及时帮助企业解决环保设备设施安全方面存在的问题和困难。</w:t>
      </w:r>
    </w:p>
    <w:p w14:paraId="29BCCE0A">
      <w:pPr>
        <w:spacing w:after="380"/>
        <w:jc w:val="left"/>
        <w:rPr>
          <w:rFonts w:hint="default" w:ascii="楷体_GB2312" w:hAnsi="楷体_GB2312" w:eastAsia="楷体_GB2312" w:cs="楷体_GB2312"/>
          <w:b w:val="0"/>
          <w:bCs w:val="0"/>
          <w:color w:val="000000"/>
          <w:kern w:val="0"/>
          <w:sz w:val="32"/>
          <w:szCs w:val="48"/>
          <w:lang w:eastAsia="en-US" w:bidi="en-US"/>
        </w:rPr>
      </w:pPr>
      <w:r>
        <w:rPr>
          <w:rFonts w:ascii="楷体_GB2312" w:hAnsi="楷体_GB2312" w:eastAsia="楷体_GB2312" w:cs="楷体_GB2312"/>
          <w:b w:val="0"/>
          <w:bCs w:val="0"/>
          <w:color w:val="000000"/>
          <w:kern w:val="0"/>
          <w:sz w:val="32"/>
          <w:szCs w:val="48"/>
          <w:lang w:bidi="en-US"/>
        </w:rPr>
        <w:t>（一）</w:t>
      </w:r>
      <w:r>
        <w:rPr>
          <w:rFonts w:ascii="楷体_GB2312" w:hAnsi="楷体_GB2312" w:eastAsia="楷体_GB2312" w:cs="楷体_GB2312"/>
          <w:b w:val="0"/>
          <w:bCs w:val="0"/>
          <w:color w:val="000000"/>
          <w:kern w:val="0"/>
          <w:sz w:val="32"/>
          <w:szCs w:val="48"/>
          <w:lang w:eastAsia="en-US" w:bidi="en-US"/>
        </w:rPr>
        <w:t>环境监测设备</w:t>
      </w:r>
    </w:p>
    <w:tbl>
      <w:tblPr>
        <w:tblStyle w:val="3"/>
        <w:tblW w:w="5295" w:type="pct"/>
        <w:jc w:val="center"/>
        <w:tblLayout w:type="autofit"/>
        <w:tblCellMar>
          <w:top w:w="0" w:type="dxa"/>
          <w:left w:w="10" w:type="dxa"/>
          <w:bottom w:w="0" w:type="dxa"/>
          <w:right w:w="10" w:type="dxa"/>
        </w:tblCellMar>
      </w:tblPr>
      <w:tblGrid>
        <w:gridCol w:w="437"/>
        <w:gridCol w:w="1448"/>
        <w:gridCol w:w="5447"/>
        <w:gridCol w:w="1484"/>
      </w:tblGrid>
      <w:tr w14:paraId="75712E6A">
        <w:tblPrEx>
          <w:tblCellMar>
            <w:top w:w="0" w:type="dxa"/>
            <w:left w:w="10" w:type="dxa"/>
            <w:bottom w:w="0" w:type="dxa"/>
            <w:right w:w="10" w:type="dxa"/>
          </w:tblCellMar>
        </w:tblPrEx>
        <w:trPr>
          <w:trHeight w:val="475" w:hRule="exact"/>
          <w:jc w:val="center"/>
        </w:trPr>
        <w:tc>
          <w:tcPr>
            <w:tcW w:w="248" w:type="pct"/>
            <w:tcBorders>
              <w:top w:val="single" w:color="auto" w:sz="4" w:space="0"/>
              <w:left w:val="single" w:color="auto" w:sz="4" w:space="0"/>
            </w:tcBorders>
            <w:shd w:val="clear" w:color="auto" w:fill="FFFFFF"/>
            <w:noWrap w:val="0"/>
            <w:vAlign w:val="center"/>
          </w:tcPr>
          <w:p w14:paraId="1EE0D2CD">
            <w:pPr>
              <w:jc w:val="center"/>
              <w:rPr>
                <w:rFonts w:hint="default" w:ascii="Times New Roman" w:hAnsi="Times New Roman" w:eastAsia="Times New Roman" w:cs="Times New Roman"/>
                <w:color w:val="000000"/>
                <w:kern w:val="0"/>
                <w:sz w:val="21"/>
                <w:szCs w:val="21"/>
                <w:lang w:eastAsia="en-US" w:bidi="en-US"/>
              </w:rPr>
            </w:pPr>
            <w:r>
              <w:rPr>
                <w:rFonts w:ascii="宋体" w:hAnsi="宋体" w:eastAsia="宋体" w:cs="宋体"/>
                <w:b/>
                <w:bCs/>
                <w:color w:val="000000"/>
                <w:kern w:val="0"/>
                <w:sz w:val="21"/>
                <w:szCs w:val="21"/>
                <w:lang w:eastAsia="en-US" w:bidi="en-US"/>
              </w:rPr>
              <w:t>序号</w:t>
            </w:r>
          </w:p>
        </w:tc>
        <w:tc>
          <w:tcPr>
            <w:tcW w:w="821" w:type="pct"/>
            <w:tcBorders>
              <w:top w:val="single" w:color="auto" w:sz="4" w:space="0"/>
              <w:left w:val="single" w:color="auto" w:sz="4" w:space="0"/>
            </w:tcBorders>
            <w:shd w:val="clear" w:color="auto" w:fill="FFFFFF"/>
            <w:noWrap w:val="0"/>
            <w:vAlign w:val="center"/>
          </w:tcPr>
          <w:p w14:paraId="6C5FD5D9">
            <w:pPr>
              <w:jc w:val="center"/>
              <w:rPr>
                <w:rFonts w:hint="default" w:ascii="Times New Roman" w:hAnsi="Times New Roman" w:eastAsia="Times New Roman" w:cs="Times New Roman"/>
                <w:color w:val="000000"/>
                <w:kern w:val="0"/>
                <w:sz w:val="21"/>
                <w:szCs w:val="21"/>
                <w:lang w:eastAsia="en-US" w:bidi="en-US"/>
              </w:rPr>
            </w:pPr>
            <w:r>
              <w:rPr>
                <w:rFonts w:ascii="宋体" w:hAnsi="宋体" w:eastAsia="宋体" w:cs="宋体"/>
                <w:b/>
                <w:bCs/>
                <w:color w:val="000000"/>
                <w:kern w:val="0"/>
                <w:sz w:val="21"/>
                <w:szCs w:val="21"/>
                <w:lang w:eastAsia="en-US" w:bidi="en-US"/>
              </w:rPr>
              <w:t>设备名称</w:t>
            </w:r>
          </w:p>
        </w:tc>
        <w:tc>
          <w:tcPr>
            <w:tcW w:w="3088" w:type="pct"/>
            <w:tcBorders>
              <w:top w:val="single" w:color="auto" w:sz="4" w:space="0"/>
              <w:left w:val="single" w:color="auto" w:sz="4" w:space="0"/>
            </w:tcBorders>
            <w:shd w:val="clear" w:color="auto" w:fill="FFFFFF"/>
            <w:noWrap w:val="0"/>
            <w:vAlign w:val="center"/>
          </w:tcPr>
          <w:p w14:paraId="351DD3BB">
            <w:pPr>
              <w:tabs>
                <w:tab w:val="left" w:pos="634"/>
              </w:tabs>
              <w:jc w:val="center"/>
              <w:rPr>
                <w:rFonts w:hint="default" w:ascii="Times New Roman" w:hAnsi="Times New Roman" w:eastAsia="Times New Roman" w:cs="Times New Roman"/>
                <w:color w:val="000000"/>
                <w:kern w:val="0"/>
                <w:sz w:val="21"/>
                <w:szCs w:val="21"/>
                <w:lang w:eastAsia="en-US" w:bidi="en-US"/>
              </w:rPr>
            </w:pPr>
            <w:r>
              <w:rPr>
                <w:rFonts w:ascii="宋体" w:hAnsi="宋体" w:eastAsia="宋体" w:cs="宋体"/>
                <w:b/>
                <w:bCs/>
                <w:color w:val="000000"/>
                <w:kern w:val="0"/>
                <w:sz w:val="21"/>
                <w:szCs w:val="21"/>
                <w:lang w:eastAsia="en-US" w:bidi="en-US"/>
              </w:rPr>
              <w:t>性能参数</w:t>
            </w:r>
          </w:p>
        </w:tc>
        <w:tc>
          <w:tcPr>
            <w:tcW w:w="841" w:type="pct"/>
            <w:tcBorders>
              <w:top w:val="single" w:color="auto" w:sz="4" w:space="0"/>
              <w:left w:val="single" w:color="auto" w:sz="4" w:space="0"/>
              <w:right w:val="single" w:color="auto" w:sz="4" w:space="0"/>
            </w:tcBorders>
            <w:shd w:val="clear" w:color="auto" w:fill="FFFFFF"/>
            <w:noWrap w:val="0"/>
            <w:vAlign w:val="center"/>
          </w:tcPr>
          <w:p w14:paraId="4C4A8727">
            <w:pPr>
              <w:ind w:firstLine="380"/>
              <w:jc w:val="left"/>
              <w:rPr>
                <w:rFonts w:hint="default" w:ascii="Times New Roman" w:hAnsi="Times New Roman" w:eastAsia="Times New Roman" w:cs="Times New Roman"/>
                <w:color w:val="000000"/>
                <w:kern w:val="0"/>
                <w:sz w:val="21"/>
                <w:szCs w:val="21"/>
                <w:lang w:eastAsia="en-US" w:bidi="en-US"/>
              </w:rPr>
            </w:pPr>
            <w:r>
              <w:rPr>
                <w:rFonts w:ascii="宋体" w:hAnsi="宋体" w:eastAsia="宋体" w:cs="宋体"/>
                <w:b/>
                <w:bCs/>
                <w:color w:val="000000"/>
                <w:kern w:val="0"/>
                <w:sz w:val="21"/>
                <w:szCs w:val="21"/>
                <w:lang w:eastAsia="en-US" w:bidi="en-US"/>
              </w:rPr>
              <w:t>应用领域</w:t>
            </w:r>
          </w:p>
        </w:tc>
      </w:tr>
      <w:tr w14:paraId="007A7987">
        <w:tblPrEx>
          <w:tblCellMar>
            <w:top w:w="0" w:type="dxa"/>
            <w:left w:w="10" w:type="dxa"/>
            <w:bottom w:w="0" w:type="dxa"/>
            <w:right w:w="10" w:type="dxa"/>
          </w:tblCellMar>
        </w:tblPrEx>
        <w:trPr>
          <w:trHeight w:val="2186" w:hRule="exact"/>
          <w:jc w:val="center"/>
        </w:trPr>
        <w:tc>
          <w:tcPr>
            <w:tcW w:w="248" w:type="pct"/>
            <w:tcBorders>
              <w:top w:val="single" w:color="auto" w:sz="4" w:space="0"/>
              <w:left w:val="single" w:color="auto" w:sz="4" w:space="0"/>
            </w:tcBorders>
            <w:shd w:val="clear" w:color="auto" w:fill="FFFFFF"/>
            <w:noWrap w:val="0"/>
            <w:vAlign w:val="center"/>
          </w:tcPr>
          <w:p w14:paraId="11E9A829">
            <w:pPr>
              <w:jc w:val="center"/>
              <w:rPr>
                <w:rFonts w:hint="default"/>
                <w:color w:val="000000"/>
                <w:kern w:val="0"/>
                <w:sz w:val="21"/>
                <w:szCs w:val="21"/>
                <w:lang w:eastAsia="en-US" w:bidi="en-US"/>
              </w:rPr>
            </w:pPr>
            <w:r>
              <w:rPr>
                <w:color w:val="000000"/>
                <w:kern w:val="0"/>
                <w:sz w:val="21"/>
                <w:szCs w:val="21"/>
                <w:lang w:eastAsia="en-US" w:bidi="en-US"/>
              </w:rPr>
              <w:t>1</w:t>
            </w:r>
          </w:p>
        </w:tc>
        <w:tc>
          <w:tcPr>
            <w:tcW w:w="821" w:type="pct"/>
            <w:tcBorders>
              <w:top w:val="single" w:color="auto" w:sz="4" w:space="0"/>
              <w:left w:val="single" w:color="auto" w:sz="4" w:space="0"/>
            </w:tcBorders>
            <w:shd w:val="clear" w:color="auto" w:fill="FFFFFF"/>
            <w:noWrap w:val="0"/>
            <w:vAlign w:val="center"/>
          </w:tcPr>
          <w:p w14:paraId="1F9C0782">
            <w:pPr>
              <w:spacing w:line="300" w:lineRule="exact"/>
              <w:jc w:val="center"/>
              <w:rPr>
                <w:rFonts w:hint="default"/>
                <w:color w:val="000000"/>
                <w:kern w:val="0"/>
                <w:sz w:val="21"/>
                <w:szCs w:val="21"/>
                <w:lang w:bidi="en-US"/>
              </w:rPr>
            </w:pPr>
            <w:r>
              <w:rPr>
                <w:color w:val="000000"/>
                <w:kern w:val="0"/>
                <w:sz w:val="21"/>
                <w:szCs w:val="21"/>
                <w:lang w:bidi="en-US"/>
              </w:rPr>
              <w:t>在线固定污染源排放烟气连续监测仪</w:t>
            </w:r>
          </w:p>
        </w:tc>
        <w:tc>
          <w:tcPr>
            <w:tcW w:w="3088" w:type="pct"/>
            <w:tcBorders>
              <w:top w:val="single" w:color="auto" w:sz="4" w:space="0"/>
              <w:left w:val="single" w:color="auto" w:sz="4" w:space="0"/>
            </w:tcBorders>
            <w:shd w:val="clear" w:color="auto" w:fill="FFFFFF"/>
            <w:noWrap w:val="0"/>
            <w:vAlign w:val="center"/>
          </w:tcPr>
          <w:p w14:paraId="3DFEBE4B">
            <w:pPr>
              <w:spacing w:line="300" w:lineRule="exact"/>
              <w:rPr>
                <w:rFonts w:hint="default"/>
                <w:color w:val="000000"/>
                <w:kern w:val="0"/>
                <w:sz w:val="21"/>
                <w:szCs w:val="21"/>
                <w:lang w:bidi="en-US"/>
              </w:rPr>
            </w:pPr>
            <w:r>
              <w:rPr>
                <w:color w:val="000000"/>
                <w:kern w:val="0"/>
                <w:sz w:val="21"/>
                <w:szCs w:val="21"/>
                <w:lang w:bidi="en-US"/>
              </w:rPr>
              <w:t>符合《固定污染源烟气排放连续监测系统技术要求及检测方法(试行)》(HJ/T76-2007)要求。含尘量测量范围0～200～2000mg/Nm</w:t>
            </w:r>
            <w:r>
              <w:rPr>
                <w:color w:val="000000"/>
                <w:kern w:val="0"/>
                <w:sz w:val="21"/>
                <w:szCs w:val="21"/>
                <w:vertAlign w:val="superscript"/>
                <w:lang w:bidi="en-US"/>
              </w:rPr>
              <w:t>3</w:t>
            </w:r>
            <w:r>
              <w:rPr>
                <w:color w:val="000000"/>
                <w:kern w:val="0"/>
                <w:sz w:val="21"/>
                <w:szCs w:val="21"/>
                <w:lang w:bidi="en-US"/>
              </w:rPr>
              <w:t>；精度±2%；气体污染物</w:t>
            </w:r>
            <w:r>
              <w:rPr>
                <w:smallCaps/>
                <w:color w:val="000000"/>
                <w:kern w:val="0"/>
                <w:sz w:val="21"/>
                <w:szCs w:val="21"/>
                <w:lang w:bidi="en-US"/>
              </w:rPr>
              <w:t>SOz/NOx</w:t>
            </w:r>
            <w:r>
              <w:rPr>
                <w:color w:val="000000"/>
                <w:kern w:val="0"/>
                <w:sz w:val="21"/>
                <w:szCs w:val="21"/>
                <w:lang w:bidi="en-US"/>
              </w:rPr>
              <w:t>测量范围0～250～2500mg/m</w:t>
            </w:r>
            <w:r>
              <w:rPr>
                <w:color w:val="000000"/>
                <w:kern w:val="0"/>
                <w:sz w:val="21"/>
                <w:szCs w:val="21"/>
                <w:vertAlign w:val="superscript"/>
                <w:lang w:bidi="en-US"/>
              </w:rPr>
              <w:t>3</w:t>
            </w:r>
            <w:r>
              <w:rPr>
                <w:color w:val="000000"/>
                <w:kern w:val="0"/>
                <w:sz w:val="21"/>
                <w:szCs w:val="21"/>
                <w:lang w:bidi="en-US"/>
              </w:rPr>
              <w:t>；CO为0～500～5000mg/Nm</w:t>
            </w:r>
            <w:r>
              <w:rPr>
                <w:color w:val="000000"/>
                <w:kern w:val="0"/>
                <w:sz w:val="21"/>
                <w:szCs w:val="21"/>
                <w:vertAlign w:val="superscript"/>
                <w:lang w:bidi="en-US"/>
              </w:rPr>
              <w:t>3</w:t>
            </w:r>
            <w:r>
              <w:rPr>
                <w:color w:val="000000"/>
                <w:kern w:val="0"/>
                <w:sz w:val="21"/>
                <w:szCs w:val="21"/>
                <w:lang w:bidi="en-US"/>
              </w:rPr>
              <w:t>；气体污染物测量精度±1%满量程；流速测量范围0～35m/s；流速测量精度±0.2m/s；温度0～200℃，精度±1℃；湿度0～20%，精度±2%满量程。</w:t>
            </w:r>
          </w:p>
        </w:tc>
        <w:tc>
          <w:tcPr>
            <w:tcW w:w="841" w:type="pct"/>
            <w:tcBorders>
              <w:top w:val="single" w:color="auto" w:sz="4" w:space="0"/>
              <w:left w:val="single" w:color="auto" w:sz="4" w:space="0"/>
              <w:right w:val="single" w:color="auto" w:sz="4" w:space="0"/>
            </w:tcBorders>
            <w:shd w:val="clear" w:color="auto" w:fill="FFFFFF"/>
            <w:noWrap w:val="0"/>
            <w:vAlign w:val="center"/>
          </w:tcPr>
          <w:p w14:paraId="61DA13C7">
            <w:pPr>
              <w:spacing w:line="300" w:lineRule="exact"/>
              <w:jc w:val="center"/>
              <w:rPr>
                <w:rFonts w:hint="default"/>
                <w:color w:val="000000"/>
                <w:kern w:val="0"/>
                <w:sz w:val="21"/>
                <w:szCs w:val="21"/>
                <w:lang w:eastAsia="en-US" w:bidi="en-US"/>
              </w:rPr>
            </w:pPr>
            <w:r>
              <w:rPr>
                <w:color w:val="000000"/>
                <w:kern w:val="0"/>
                <w:sz w:val="21"/>
                <w:szCs w:val="21"/>
                <w:lang w:eastAsia="en-US" w:bidi="en-US"/>
              </w:rPr>
              <w:t>大气污染源监测</w:t>
            </w:r>
          </w:p>
        </w:tc>
      </w:tr>
      <w:tr w14:paraId="4F4F206B">
        <w:tblPrEx>
          <w:tblCellMar>
            <w:top w:w="0" w:type="dxa"/>
            <w:left w:w="10" w:type="dxa"/>
            <w:bottom w:w="0" w:type="dxa"/>
            <w:right w:w="10" w:type="dxa"/>
          </w:tblCellMar>
        </w:tblPrEx>
        <w:trPr>
          <w:trHeight w:val="2374" w:hRule="exact"/>
          <w:jc w:val="center"/>
        </w:trPr>
        <w:tc>
          <w:tcPr>
            <w:tcW w:w="248" w:type="pct"/>
            <w:tcBorders>
              <w:top w:val="single" w:color="auto" w:sz="4" w:space="0"/>
              <w:left w:val="single" w:color="auto" w:sz="4" w:space="0"/>
            </w:tcBorders>
            <w:shd w:val="clear" w:color="auto" w:fill="FFFFFF"/>
            <w:noWrap w:val="0"/>
            <w:vAlign w:val="center"/>
          </w:tcPr>
          <w:p w14:paraId="4B8E4113">
            <w:pPr>
              <w:jc w:val="center"/>
              <w:rPr>
                <w:rFonts w:hint="default"/>
                <w:color w:val="000000"/>
                <w:kern w:val="0"/>
                <w:sz w:val="21"/>
                <w:szCs w:val="21"/>
                <w:lang w:eastAsia="en-US" w:bidi="en-US"/>
              </w:rPr>
            </w:pPr>
            <w:r>
              <w:rPr>
                <w:color w:val="000000"/>
                <w:kern w:val="0"/>
                <w:sz w:val="21"/>
                <w:szCs w:val="21"/>
                <w:lang w:eastAsia="en-US" w:bidi="en-US"/>
              </w:rPr>
              <w:t>2</w:t>
            </w:r>
          </w:p>
        </w:tc>
        <w:tc>
          <w:tcPr>
            <w:tcW w:w="821" w:type="pct"/>
            <w:tcBorders>
              <w:top w:val="single" w:color="auto" w:sz="4" w:space="0"/>
              <w:left w:val="single" w:color="auto" w:sz="4" w:space="0"/>
            </w:tcBorders>
            <w:shd w:val="clear" w:color="auto" w:fill="FFFFFF"/>
            <w:noWrap w:val="0"/>
            <w:vAlign w:val="center"/>
          </w:tcPr>
          <w:p w14:paraId="761C3FB5">
            <w:pPr>
              <w:spacing w:line="300" w:lineRule="exact"/>
              <w:jc w:val="center"/>
              <w:rPr>
                <w:rFonts w:hint="default"/>
                <w:color w:val="000000"/>
                <w:kern w:val="0"/>
                <w:sz w:val="21"/>
                <w:szCs w:val="21"/>
                <w:lang w:bidi="en-US"/>
              </w:rPr>
            </w:pPr>
            <w:r>
              <w:rPr>
                <w:color w:val="000000"/>
                <w:kern w:val="0"/>
                <w:sz w:val="21"/>
                <w:szCs w:val="21"/>
                <w:lang w:bidi="en-US"/>
              </w:rPr>
              <w:t>化学需氧量水质在线自动监测仪</w:t>
            </w:r>
          </w:p>
        </w:tc>
        <w:tc>
          <w:tcPr>
            <w:tcW w:w="3088" w:type="pct"/>
            <w:tcBorders>
              <w:top w:val="single" w:color="auto" w:sz="4" w:space="0"/>
              <w:left w:val="single" w:color="auto" w:sz="4" w:space="0"/>
            </w:tcBorders>
            <w:shd w:val="clear" w:color="auto" w:fill="FFFFFF"/>
            <w:noWrap w:val="0"/>
            <w:vAlign w:val="center"/>
          </w:tcPr>
          <w:p w14:paraId="15E25B60">
            <w:pPr>
              <w:spacing w:line="300" w:lineRule="exact"/>
              <w:rPr>
                <w:rFonts w:hint="default"/>
                <w:color w:val="000000"/>
                <w:kern w:val="0"/>
                <w:sz w:val="21"/>
                <w:szCs w:val="21"/>
                <w:lang w:bidi="en-US"/>
              </w:rPr>
            </w:pPr>
            <w:r>
              <w:rPr>
                <w:color w:val="000000"/>
                <w:kern w:val="0"/>
                <w:sz w:val="21"/>
                <w:szCs w:val="21"/>
                <w:lang w:bidi="en-US"/>
              </w:rPr>
              <w:t>铬法：符合《环境保护产品技术要求化学需氧量(CODcr)水质在线自动检测仪》(HJ/T377-2007)要求。测量时间小于60min，最小量程范围0～2000mg/L，重复性小于±10%，零点漂移±5%，量程漂移±10%。</w:t>
            </w:r>
          </w:p>
          <w:p w14:paraId="751E62E8">
            <w:pPr>
              <w:spacing w:line="300" w:lineRule="exact"/>
              <w:jc w:val="left"/>
              <w:rPr>
                <w:rFonts w:hint="default"/>
                <w:color w:val="000000"/>
                <w:kern w:val="0"/>
                <w:sz w:val="21"/>
                <w:szCs w:val="21"/>
                <w:lang w:bidi="en-US"/>
              </w:rPr>
            </w:pPr>
            <w:r>
              <w:rPr>
                <w:color w:val="000000"/>
                <w:kern w:val="0"/>
                <w:sz w:val="21"/>
                <w:szCs w:val="21"/>
                <w:lang w:bidi="en-US"/>
              </w:rPr>
              <w:t>锰法：符合《高锰酸钾指数水质自动分析仪技术要求》(HJ/T100-2003)标准的要求。测量时间小于60min，最小量程范围0～20mg/L，重复性小于±10%，零点漂移±5%，量程漂移±5%。</w:t>
            </w:r>
          </w:p>
        </w:tc>
        <w:tc>
          <w:tcPr>
            <w:tcW w:w="841" w:type="pct"/>
            <w:tcBorders>
              <w:top w:val="single" w:color="auto" w:sz="4" w:space="0"/>
              <w:left w:val="single" w:color="auto" w:sz="4" w:space="0"/>
              <w:right w:val="single" w:color="auto" w:sz="4" w:space="0"/>
            </w:tcBorders>
            <w:shd w:val="clear" w:color="auto" w:fill="FFFFFF"/>
            <w:noWrap w:val="0"/>
            <w:vAlign w:val="center"/>
          </w:tcPr>
          <w:p w14:paraId="628E5587">
            <w:pPr>
              <w:spacing w:line="300" w:lineRule="exact"/>
              <w:jc w:val="center"/>
              <w:rPr>
                <w:rFonts w:hint="default"/>
                <w:color w:val="000000"/>
                <w:kern w:val="0"/>
                <w:sz w:val="21"/>
                <w:szCs w:val="21"/>
                <w:lang w:eastAsia="en-US" w:bidi="en-US"/>
              </w:rPr>
            </w:pPr>
            <w:r>
              <w:rPr>
                <w:color w:val="000000"/>
                <w:kern w:val="0"/>
                <w:sz w:val="21"/>
                <w:szCs w:val="21"/>
                <w:lang w:eastAsia="en-US" w:bidi="en-US"/>
              </w:rPr>
              <w:t>水质污染监测</w:t>
            </w:r>
          </w:p>
        </w:tc>
      </w:tr>
      <w:tr w14:paraId="539CCC07">
        <w:tblPrEx>
          <w:tblCellMar>
            <w:top w:w="0" w:type="dxa"/>
            <w:left w:w="10" w:type="dxa"/>
            <w:bottom w:w="0" w:type="dxa"/>
            <w:right w:w="10" w:type="dxa"/>
          </w:tblCellMar>
        </w:tblPrEx>
        <w:trPr>
          <w:trHeight w:val="1782" w:hRule="exact"/>
          <w:jc w:val="center"/>
        </w:trPr>
        <w:tc>
          <w:tcPr>
            <w:tcW w:w="248" w:type="pct"/>
            <w:tcBorders>
              <w:top w:val="single" w:color="auto" w:sz="4" w:space="0"/>
              <w:left w:val="single" w:color="auto" w:sz="4" w:space="0"/>
            </w:tcBorders>
            <w:shd w:val="clear" w:color="auto" w:fill="FFFFFF"/>
            <w:noWrap w:val="0"/>
            <w:vAlign w:val="center"/>
          </w:tcPr>
          <w:p w14:paraId="4B3265C3">
            <w:pPr>
              <w:jc w:val="center"/>
              <w:rPr>
                <w:rFonts w:hint="default"/>
                <w:color w:val="000000"/>
                <w:kern w:val="0"/>
                <w:sz w:val="21"/>
                <w:szCs w:val="21"/>
                <w:lang w:eastAsia="en-US" w:bidi="en-US"/>
              </w:rPr>
            </w:pPr>
            <w:r>
              <w:rPr>
                <w:color w:val="000000"/>
                <w:kern w:val="0"/>
                <w:sz w:val="21"/>
                <w:szCs w:val="21"/>
                <w:lang w:eastAsia="en-US" w:bidi="en-US"/>
              </w:rPr>
              <w:t>3</w:t>
            </w:r>
          </w:p>
        </w:tc>
        <w:tc>
          <w:tcPr>
            <w:tcW w:w="821" w:type="pct"/>
            <w:tcBorders>
              <w:top w:val="single" w:color="auto" w:sz="4" w:space="0"/>
              <w:left w:val="single" w:color="auto" w:sz="4" w:space="0"/>
            </w:tcBorders>
            <w:shd w:val="clear" w:color="auto" w:fill="FFFFFF"/>
            <w:noWrap w:val="0"/>
            <w:vAlign w:val="center"/>
          </w:tcPr>
          <w:p w14:paraId="7B3A4251">
            <w:pPr>
              <w:spacing w:line="300" w:lineRule="exact"/>
              <w:jc w:val="center"/>
              <w:rPr>
                <w:rFonts w:hint="default"/>
                <w:color w:val="000000"/>
                <w:kern w:val="0"/>
                <w:sz w:val="21"/>
                <w:szCs w:val="21"/>
                <w:lang w:eastAsia="en-US" w:bidi="en-US"/>
              </w:rPr>
            </w:pPr>
            <w:r>
              <w:rPr>
                <w:color w:val="000000"/>
                <w:kern w:val="0"/>
                <w:sz w:val="21"/>
                <w:szCs w:val="21"/>
                <w:lang w:eastAsia="en-US" w:bidi="en-US"/>
              </w:rPr>
              <w:t>氨氮水质自动分析仪</w:t>
            </w:r>
          </w:p>
        </w:tc>
        <w:tc>
          <w:tcPr>
            <w:tcW w:w="3088" w:type="pct"/>
            <w:tcBorders>
              <w:top w:val="single" w:color="auto" w:sz="4" w:space="0"/>
              <w:left w:val="single" w:color="auto" w:sz="4" w:space="0"/>
            </w:tcBorders>
            <w:shd w:val="clear" w:color="auto" w:fill="FFFFFF"/>
            <w:noWrap w:val="0"/>
            <w:vAlign w:val="center"/>
          </w:tcPr>
          <w:p w14:paraId="646D02A1">
            <w:pPr>
              <w:spacing w:line="300" w:lineRule="exact"/>
              <w:jc w:val="left"/>
              <w:rPr>
                <w:rFonts w:hint="default"/>
                <w:color w:val="000000"/>
                <w:kern w:val="0"/>
                <w:sz w:val="21"/>
                <w:szCs w:val="21"/>
                <w:lang w:bidi="en-US"/>
              </w:rPr>
            </w:pPr>
            <w:r>
              <w:rPr>
                <w:color w:val="000000"/>
                <w:kern w:val="0"/>
                <w:sz w:val="21"/>
                <w:szCs w:val="21"/>
                <w:lang w:bidi="en-US"/>
              </w:rPr>
              <w:t>符合《氨氮水质自动分析仪技术要求》(HJ/T101-2003)要求，测量时间小于60min。</w:t>
            </w:r>
          </w:p>
          <w:p w14:paraId="4F967980">
            <w:pPr>
              <w:spacing w:line="300" w:lineRule="exact"/>
              <w:jc w:val="left"/>
              <w:rPr>
                <w:rFonts w:hint="default"/>
                <w:color w:val="000000"/>
                <w:kern w:val="0"/>
                <w:sz w:val="21"/>
                <w:szCs w:val="21"/>
                <w:lang w:bidi="en-US"/>
              </w:rPr>
            </w:pPr>
            <w:r>
              <w:rPr>
                <w:color w:val="000000"/>
                <w:kern w:val="0"/>
                <w:sz w:val="21"/>
                <w:szCs w:val="21"/>
                <w:lang w:bidi="en-US"/>
              </w:rPr>
              <w:t>电极法：最小量程范围0.05～100mg/L，重复性小于±5%，零点漂移±5%，量程漂移±5%；</w:t>
            </w:r>
          </w:p>
          <w:p w14:paraId="3E6573B8">
            <w:pPr>
              <w:spacing w:line="300" w:lineRule="exact"/>
              <w:jc w:val="left"/>
              <w:rPr>
                <w:rFonts w:hint="default"/>
                <w:color w:val="000000"/>
                <w:kern w:val="0"/>
                <w:sz w:val="21"/>
                <w:szCs w:val="21"/>
                <w:lang w:bidi="en-US"/>
              </w:rPr>
            </w:pPr>
            <w:r>
              <w:rPr>
                <w:color w:val="000000"/>
                <w:kern w:val="0"/>
                <w:sz w:val="21"/>
                <w:szCs w:val="21"/>
                <w:lang w:bidi="en-US"/>
              </w:rPr>
              <w:t>光度法：最小量程范围0.05～50mg/L，重复性小于±10%，零点漂移±10%，量程漂移±10%。</w:t>
            </w:r>
          </w:p>
        </w:tc>
        <w:tc>
          <w:tcPr>
            <w:tcW w:w="841" w:type="pct"/>
            <w:tcBorders>
              <w:top w:val="single" w:color="auto" w:sz="4" w:space="0"/>
              <w:left w:val="single" w:color="auto" w:sz="4" w:space="0"/>
              <w:right w:val="single" w:color="auto" w:sz="4" w:space="0"/>
            </w:tcBorders>
            <w:shd w:val="clear" w:color="auto" w:fill="FFFFFF"/>
            <w:noWrap w:val="0"/>
            <w:vAlign w:val="center"/>
          </w:tcPr>
          <w:p w14:paraId="67FA8A46">
            <w:pPr>
              <w:spacing w:line="300" w:lineRule="exact"/>
              <w:jc w:val="center"/>
              <w:rPr>
                <w:rFonts w:hint="default"/>
                <w:color w:val="000000"/>
                <w:kern w:val="0"/>
                <w:sz w:val="21"/>
                <w:szCs w:val="21"/>
                <w:lang w:eastAsia="en-US" w:bidi="en-US"/>
              </w:rPr>
            </w:pPr>
            <w:r>
              <w:rPr>
                <w:color w:val="000000"/>
                <w:kern w:val="0"/>
                <w:sz w:val="21"/>
                <w:szCs w:val="21"/>
                <w:lang w:eastAsia="en-US" w:bidi="en-US"/>
              </w:rPr>
              <w:t>水质污染监测</w:t>
            </w:r>
          </w:p>
        </w:tc>
      </w:tr>
      <w:tr w14:paraId="30A5B625">
        <w:tblPrEx>
          <w:tblCellMar>
            <w:top w:w="0" w:type="dxa"/>
            <w:left w:w="10" w:type="dxa"/>
            <w:bottom w:w="0" w:type="dxa"/>
            <w:right w:w="10" w:type="dxa"/>
          </w:tblCellMar>
        </w:tblPrEx>
        <w:trPr>
          <w:trHeight w:val="1138" w:hRule="exact"/>
          <w:jc w:val="center"/>
        </w:trPr>
        <w:tc>
          <w:tcPr>
            <w:tcW w:w="248" w:type="pct"/>
            <w:tcBorders>
              <w:top w:val="single" w:color="auto" w:sz="4" w:space="0"/>
              <w:left w:val="single" w:color="auto" w:sz="4" w:space="0"/>
            </w:tcBorders>
            <w:shd w:val="clear" w:color="auto" w:fill="FFFFFF"/>
            <w:noWrap w:val="0"/>
            <w:vAlign w:val="center"/>
          </w:tcPr>
          <w:p w14:paraId="039BD924">
            <w:pPr>
              <w:jc w:val="center"/>
              <w:rPr>
                <w:rFonts w:hint="default"/>
                <w:color w:val="000000"/>
                <w:kern w:val="0"/>
                <w:sz w:val="21"/>
                <w:szCs w:val="21"/>
                <w:lang w:eastAsia="en-US" w:bidi="en-US"/>
              </w:rPr>
            </w:pPr>
            <w:r>
              <w:rPr>
                <w:color w:val="000000"/>
                <w:kern w:val="0"/>
                <w:sz w:val="21"/>
                <w:szCs w:val="21"/>
                <w:lang w:eastAsia="en-US" w:bidi="en-US"/>
              </w:rPr>
              <w:t>4</w:t>
            </w:r>
          </w:p>
        </w:tc>
        <w:tc>
          <w:tcPr>
            <w:tcW w:w="821" w:type="pct"/>
            <w:tcBorders>
              <w:top w:val="single" w:color="auto" w:sz="4" w:space="0"/>
              <w:left w:val="single" w:color="auto" w:sz="4" w:space="0"/>
            </w:tcBorders>
            <w:shd w:val="clear" w:color="auto" w:fill="FFFFFF"/>
            <w:noWrap w:val="0"/>
            <w:vAlign w:val="center"/>
          </w:tcPr>
          <w:p w14:paraId="2582A9B5">
            <w:pPr>
              <w:spacing w:line="300" w:lineRule="exact"/>
              <w:jc w:val="center"/>
              <w:rPr>
                <w:rFonts w:hint="default"/>
                <w:color w:val="000000"/>
                <w:kern w:val="0"/>
                <w:sz w:val="21"/>
                <w:szCs w:val="21"/>
                <w:lang w:eastAsia="en-US" w:bidi="en-US"/>
              </w:rPr>
            </w:pPr>
            <w:r>
              <w:rPr>
                <w:color w:val="000000"/>
                <w:kern w:val="0"/>
                <w:sz w:val="21"/>
                <w:szCs w:val="21"/>
                <w:lang w:eastAsia="en-US" w:bidi="en-US"/>
              </w:rPr>
              <w:t>总磷水质自动分析仪</w:t>
            </w:r>
          </w:p>
        </w:tc>
        <w:tc>
          <w:tcPr>
            <w:tcW w:w="3088" w:type="pct"/>
            <w:tcBorders>
              <w:top w:val="single" w:color="auto" w:sz="4" w:space="0"/>
              <w:left w:val="single" w:color="auto" w:sz="4" w:space="0"/>
            </w:tcBorders>
            <w:shd w:val="clear" w:color="auto" w:fill="FFFFFF"/>
            <w:noWrap w:val="0"/>
            <w:vAlign w:val="center"/>
          </w:tcPr>
          <w:p w14:paraId="057F6B63">
            <w:pPr>
              <w:spacing w:line="300" w:lineRule="exact"/>
              <w:jc w:val="left"/>
              <w:rPr>
                <w:rFonts w:hint="default"/>
                <w:color w:val="000000"/>
                <w:kern w:val="0"/>
                <w:sz w:val="21"/>
                <w:szCs w:val="21"/>
                <w:lang w:bidi="en-US"/>
              </w:rPr>
            </w:pPr>
            <w:r>
              <w:rPr>
                <w:color w:val="000000"/>
                <w:kern w:val="0"/>
                <w:sz w:val="21"/>
                <w:szCs w:val="21"/>
                <w:lang w:bidi="en-US"/>
              </w:rPr>
              <w:t>符合《总磷水质自动分析仪技术要求(HJ/T103-2003)》。测量时间小于60min，最小量程范围0～50mg/L，重复性小于±10%，零点漂移±5%，量程漂移±10%。</w:t>
            </w:r>
          </w:p>
        </w:tc>
        <w:tc>
          <w:tcPr>
            <w:tcW w:w="841" w:type="pct"/>
            <w:tcBorders>
              <w:top w:val="single" w:color="auto" w:sz="4" w:space="0"/>
              <w:left w:val="single" w:color="auto" w:sz="4" w:space="0"/>
              <w:right w:val="single" w:color="auto" w:sz="4" w:space="0"/>
            </w:tcBorders>
            <w:shd w:val="clear" w:color="auto" w:fill="FFFFFF"/>
            <w:noWrap w:val="0"/>
            <w:vAlign w:val="center"/>
          </w:tcPr>
          <w:p w14:paraId="4E5C4F98">
            <w:pPr>
              <w:spacing w:line="300" w:lineRule="exact"/>
              <w:jc w:val="center"/>
              <w:rPr>
                <w:rFonts w:hint="default"/>
                <w:color w:val="000000"/>
                <w:kern w:val="0"/>
                <w:sz w:val="21"/>
                <w:szCs w:val="21"/>
                <w:lang w:eastAsia="en-US" w:bidi="en-US"/>
              </w:rPr>
            </w:pPr>
            <w:r>
              <w:rPr>
                <w:color w:val="000000"/>
                <w:kern w:val="0"/>
                <w:sz w:val="21"/>
                <w:szCs w:val="21"/>
                <w:lang w:eastAsia="en-US" w:bidi="en-US"/>
              </w:rPr>
              <w:t>水质污染监测</w:t>
            </w:r>
          </w:p>
        </w:tc>
      </w:tr>
      <w:tr w14:paraId="404DEB69">
        <w:tblPrEx>
          <w:tblCellMar>
            <w:top w:w="0" w:type="dxa"/>
            <w:left w:w="10" w:type="dxa"/>
            <w:bottom w:w="0" w:type="dxa"/>
            <w:right w:w="10" w:type="dxa"/>
          </w:tblCellMar>
        </w:tblPrEx>
        <w:trPr>
          <w:trHeight w:val="1170" w:hRule="exact"/>
          <w:jc w:val="center"/>
        </w:trPr>
        <w:tc>
          <w:tcPr>
            <w:tcW w:w="248" w:type="pct"/>
            <w:tcBorders>
              <w:top w:val="single" w:color="auto" w:sz="4" w:space="0"/>
              <w:left w:val="single" w:color="auto" w:sz="4" w:space="0"/>
            </w:tcBorders>
            <w:shd w:val="clear" w:color="auto" w:fill="FFFFFF"/>
            <w:noWrap w:val="0"/>
            <w:vAlign w:val="center"/>
          </w:tcPr>
          <w:p w14:paraId="1A772388">
            <w:pPr>
              <w:jc w:val="center"/>
              <w:rPr>
                <w:rFonts w:hint="default"/>
                <w:color w:val="000000"/>
                <w:kern w:val="0"/>
                <w:sz w:val="21"/>
                <w:szCs w:val="21"/>
                <w:lang w:eastAsia="en-US" w:bidi="en-US"/>
              </w:rPr>
            </w:pPr>
            <w:r>
              <w:rPr>
                <w:color w:val="000000"/>
                <w:kern w:val="0"/>
                <w:sz w:val="21"/>
                <w:szCs w:val="21"/>
                <w:lang w:eastAsia="en-US" w:bidi="en-US"/>
              </w:rPr>
              <w:t>5</w:t>
            </w:r>
          </w:p>
        </w:tc>
        <w:tc>
          <w:tcPr>
            <w:tcW w:w="821" w:type="pct"/>
            <w:tcBorders>
              <w:top w:val="single" w:color="auto" w:sz="4" w:space="0"/>
              <w:left w:val="single" w:color="auto" w:sz="4" w:space="0"/>
            </w:tcBorders>
            <w:shd w:val="clear" w:color="auto" w:fill="FFFFFF"/>
            <w:noWrap w:val="0"/>
            <w:vAlign w:val="center"/>
          </w:tcPr>
          <w:p w14:paraId="0FD09046">
            <w:pPr>
              <w:spacing w:line="300" w:lineRule="exact"/>
              <w:jc w:val="center"/>
              <w:rPr>
                <w:rFonts w:hint="default"/>
                <w:color w:val="000000"/>
                <w:kern w:val="0"/>
                <w:sz w:val="21"/>
                <w:szCs w:val="21"/>
                <w:lang w:eastAsia="en-US" w:bidi="en-US"/>
              </w:rPr>
            </w:pPr>
            <w:r>
              <w:rPr>
                <w:color w:val="000000"/>
                <w:kern w:val="0"/>
                <w:sz w:val="21"/>
                <w:szCs w:val="21"/>
                <w:lang w:eastAsia="en-US" w:bidi="en-US"/>
              </w:rPr>
              <w:t>总氮水质自动分析仪</w:t>
            </w:r>
          </w:p>
        </w:tc>
        <w:tc>
          <w:tcPr>
            <w:tcW w:w="3088" w:type="pct"/>
            <w:tcBorders>
              <w:top w:val="single" w:color="auto" w:sz="4" w:space="0"/>
              <w:left w:val="single" w:color="auto" w:sz="4" w:space="0"/>
            </w:tcBorders>
            <w:shd w:val="clear" w:color="auto" w:fill="FFFFFF"/>
            <w:noWrap w:val="0"/>
            <w:vAlign w:val="center"/>
          </w:tcPr>
          <w:p w14:paraId="7CB2782B">
            <w:pPr>
              <w:spacing w:line="300" w:lineRule="exact"/>
              <w:jc w:val="left"/>
              <w:rPr>
                <w:rFonts w:hint="default"/>
                <w:color w:val="000000"/>
                <w:kern w:val="0"/>
                <w:sz w:val="21"/>
                <w:szCs w:val="21"/>
                <w:lang w:bidi="en-US"/>
              </w:rPr>
            </w:pPr>
            <w:r>
              <w:rPr>
                <w:color w:val="000000"/>
                <w:kern w:val="0"/>
                <w:sz w:val="21"/>
                <w:szCs w:val="21"/>
                <w:lang w:bidi="en-US"/>
              </w:rPr>
              <w:t>符合《总氮水质自动分析仪技术要求》(HJ/T102-2003)。测量时间小于60min，最小量程范围0～100mg/L，重复性小于±10%，零点漂移±5%，量程漂移±10%。</w:t>
            </w:r>
          </w:p>
        </w:tc>
        <w:tc>
          <w:tcPr>
            <w:tcW w:w="841" w:type="pct"/>
            <w:tcBorders>
              <w:top w:val="single" w:color="auto" w:sz="4" w:space="0"/>
              <w:left w:val="single" w:color="auto" w:sz="4" w:space="0"/>
              <w:right w:val="single" w:color="auto" w:sz="4" w:space="0"/>
            </w:tcBorders>
            <w:shd w:val="clear" w:color="auto" w:fill="FFFFFF"/>
            <w:noWrap w:val="0"/>
            <w:vAlign w:val="center"/>
          </w:tcPr>
          <w:p w14:paraId="75B8B706">
            <w:pPr>
              <w:spacing w:line="300" w:lineRule="exact"/>
              <w:jc w:val="center"/>
              <w:rPr>
                <w:rFonts w:hint="default"/>
                <w:color w:val="000000"/>
                <w:kern w:val="0"/>
                <w:sz w:val="21"/>
                <w:szCs w:val="21"/>
                <w:lang w:eastAsia="en-US" w:bidi="en-US"/>
              </w:rPr>
            </w:pPr>
            <w:r>
              <w:rPr>
                <w:color w:val="000000"/>
                <w:kern w:val="0"/>
                <w:sz w:val="21"/>
                <w:szCs w:val="21"/>
                <w:lang w:eastAsia="en-US" w:bidi="en-US"/>
              </w:rPr>
              <w:t>水质污染监测</w:t>
            </w:r>
          </w:p>
        </w:tc>
      </w:tr>
      <w:tr w14:paraId="79986B2B">
        <w:tblPrEx>
          <w:tblCellMar>
            <w:top w:w="0" w:type="dxa"/>
            <w:left w:w="10" w:type="dxa"/>
            <w:bottom w:w="0" w:type="dxa"/>
            <w:right w:w="10" w:type="dxa"/>
          </w:tblCellMar>
        </w:tblPrEx>
        <w:trPr>
          <w:trHeight w:val="1413" w:hRule="exact"/>
          <w:jc w:val="center"/>
        </w:trPr>
        <w:tc>
          <w:tcPr>
            <w:tcW w:w="248" w:type="pct"/>
            <w:tcBorders>
              <w:top w:val="single" w:color="auto" w:sz="4" w:space="0"/>
              <w:left w:val="single" w:color="auto" w:sz="4" w:space="0"/>
              <w:bottom w:val="single" w:color="auto" w:sz="4" w:space="0"/>
            </w:tcBorders>
            <w:shd w:val="clear" w:color="auto" w:fill="FFFFFF"/>
            <w:noWrap w:val="0"/>
            <w:vAlign w:val="center"/>
          </w:tcPr>
          <w:p w14:paraId="7C9D1CFD">
            <w:pPr>
              <w:jc w:val="center"/>
              <w:rPr>
                <w:rFonts w:hint="default"/>
                <w:color w:val="000000"/>
                <w:kern w:val="0"/>
                <w:sz w:val="21"/>
                <w:szCs w:val="21"/>
                <w:lang w:eastAsia="en-US" w:bidi="en-US"/>
              </w:rPr>
            </w:pPr>
            <w:r>
              <w:rPr>
                <w:color w:val="000000"/>
                <w:kern w:val="0"/>
                <w:sz w:val="21"/>
                <w:szCs w:val="21"/>
                <w:lang w:eastAsia="en-US" w:bidi="en-US"/>
              </w:rPr>
              <w:t>6</w:t>
            </w:r>
          </w:p>
        </w:tc>
        <w:tc>
          <w:tcPr>
            <w:tcW w:w="821" w:type="pct"/>
            <w:tcBorders>
              <w:top w:val="single" w:color="auto" w:sz="4" w:space="0"/>
              <w:left w:val="single" w:color="auto" w:sz="4" w:space="0"/>
              <w:bottom w:val="single" w:color="auto" w:sz="4" w:space="0"/>
            </w:tcBorders>
            <w:shd w:val="clear" w:color="auto" w:fill="FFFFFF"/>
            <w:noWrap w:val="0"/>
            <w:vAlign w:val="center"/>
          </w:tcPr>
          <w:p w14:paraId="03922D16">
            <w:pPr>
              <w:spacing w:line="300" w:lineRule="exact"/>
              <w:jc w:val="center"/>
              <w:rPr>
                <w:rFonts w:hint="default"/>
                <w:color w:val="000000"/>
                <w:kern w:val="0"/>
                <w:sz w:val="21"/>
                <w:szCs w:val="21"/>
                <w:lang w:bidi="en-US"/>
              </w:rPr>
            </w:pPr>
            <w:r>
              <w:rPr>
                <w:color w:val="000000"/>
                <w:kern w:val="0"/>
                <w:sz w:val="21"/>
                <w:szCs w:val="21"/>
                <w:lang w:bidi="en-US"/>
              </w:rPr>
              <w:t>总有机碳水质自动分析仪</w:t>
            </w:r>
          </w:p>
        </w:tc>
        <w:tc>
          <w:tcPr>
            <w:tcW w:w="3088" w:type="pct"/>
            <w:tcBorders>
              <w:top w:val="single" w:color="auto" w:sz="4" w:space="0"/>
              <w:left w:val="single" w:color="auto" w:sz="4" w:space="0"/>
              <w:bottom w:val="single" w:color="auto" w:sz="4" w:space="0"/>
            </w:tcBorders>
            <w:shd w:val="clear" w:color="auto" w:fill="FFFFFF"/>
            <w:noWrap w:val="0"/>
            <w:vAlign w:val="center"/>
          </w:tcPr>
          <w:p w14:paraId="07382630">
            <w:pPr>
              <w:spacing w:line="300" w:lineRule="exact"/>
              <w:jc w:val="left"/>
              <w:rPr>
                <w:rFonts w:hint="default"/>
                <w:color w:val="000000"/>
                <w:kern w:val="0"/>
                <w:sz w:val="21"/>
                <w:szCs w:val="21"/>
                <w:lang w:bidi="en-US"/>
              </w:rPr>
            </w:pPr>
            <w:r>
              <w:rPr>
                <w:color w:val="000000"/>
                <w:kern w:val="0"/>
                <w:sz w:val="21"/>
                <w:szCs w:val="21"/>
                <w:lang w:bidi="en-US"/>
              </w:rPr>
              <w:t>符合《总有机碳(TOC)水质自动分析仪技术要求》(HJ/T104-2003)要求。测量时间小于60min，最小量程范围0～100mg/L，重复性小于±5%，零点漂移土5%，量程漂移±5%，实际水样比对试验小于±10%。</w:t>
            </w:r>
          </w:p>
        </w:tc>
        <w:tc>
          <w:tcPr>
            <w:tcW w:w="841"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7C61DAE0">
            <w:pPr>
              <w:spacing w:line="300" w:lineRule="exact"/>
              <w:jc w:val="center"/>
              <w:rPr>
                <w:rFonts w:hint="default"/>
                <w:color w:val="000000"/>
                <w:kern w:val="0"/>
                <w:sz w:val="21"/>
                <w:szCs w:val="21"/>
                <w:lang w:eastAsia="en-US" w:bidi="en-US"/>
              </w:rPr>
            </w:pPr>
            <w:r>
              <w:rPr>
                <w:color w:val="000000"/>
                <w:kern w:val="0"/>
                <w:sz w:val="21"/>
                <w:szCs w:val="21"/>
                <w:lang w:eastAsia="en-US" w:bidi="en-US"/>
              </w:rPr>
              <w:t>水质污染监测</w:t>
            </w:r>
          </w:p>
        </w:tc>
      </w:tr>
    </w:tbl>
    <w:p w14:paraId="482E8E88">
      <w:pPr>
        <w:spacing w:line="1" w:lineRule="exact"/>
        <w:jc w:val="left"/>
        <w:rPr>
          <w:rFonts w:ascii="等线" w:hAnsi="等线" w:eastAsia="等线" w:cs="等线"/>
          <w:color w:val="000000"/>
          <w:kern w:val="0"/>
          <w:sz w:val="24"/>
          <w:lang w:eastAsia="en-US" w:bidi="en-US"/>
        </w:rPr>
      </w:pPr>
    </w:p>
    <w:tbl>
      <w:tblPr>
        <w:tblStyle w:val="3"/>
        <w:tblW w:w="5243" w:type="pct"/>
        <w:jc w:val="center"/>
        <w:tblLayout w:type="autofit"/>
        <w:tblCellMar>
          <w:top w:w="0" w:type="dxa"/>
          <w:left w:w="10" w:type="dxa"/>
          <w:bottom w:w="0" w:type="dxa"/>
          <w:right w:w="10" w:type="dxa"/>
        </w:tblCellMar>
      </w:tblPr>
      <w:tblGrid>
        <w:gridCol w:w="436"/>
        <w:gridCol w:w="1449"/>
        <w:gridCol w:w="5444"/>
        <w:gridCol w:w="1401"/>
      </w:tblGrid>
      <w:tr w14:paraId="27E5C620">
        <w:tblPrEx>
          <w:tblCellMar>
            <w:top w:w="0" w:type="dxa"/>
            <w:left w:w="10" w:type="dxa"/>
            <w:bottom w:w="0" w:type="dxa"/>
            <w:right w:w="10" w:type="dxa"/>
          </w:tblCellMar>
        </w:tblPrEx>
        <w:trPr>
          <w:trHeight w:val="1944" w:hRule="exact"/>
          <w:jc w:val="center"/>
        </w:trPr>
        <w:tc>
          <w:tcPr>
            <w:tcW w:w="250" w:type="pct"/>
            <w:tcBorders>
              <w:top w:val="single" w:color="auto" w:sz="4" w:space="0"/>
              <w:left w:val="single" w:color="auto" w:sz="4" w:space="0"/>
            </w:tcBorders>
            <w:shd w:val="clear" w:color="auto" w:fill="FFFFFF"/>
            <w:noWrap w:val="0"/>
            <w:vAlign w:val="center"/>
          </w:tcPr>
          <w:p w14:paraId="1B3050F1">
            <w:pPr>
              <w:jc w:val="center"/>
              <w:rPr>
                <w:rFonts w:hint="default"/>
                <w:color w:val="000000"/>
                <w:kern w:val="0"/>
                <w:sz w:val="21"/>
                <w:szCs w:val="21"/>
                <w:lang w:eastAsia="en-US" w:bidi="en-US"/>
              </w:rPr>
            </w:pPr>
            <w:r>
              <w:rPr>
                <w:color w:val="000000"/>
                <w:kern w:val="0"/>
                <w:sz w:val="21"/>
                <w:szCs w:val="21"/>
                <w:lang w:eastAsia="en-US" w:bidi="en-US"/>
              </w:rPr>
              <w:t>7</w:t>
            </w:r>
          </w:p>
        </w:tc>
        <w:tc>
          <w:tcPr>
            <w:tcW w:w="830" w:type="pct"/>
            <w:tcBorders>
              <w:top w:val="single" w:color="auto" w:sz="4" w:space="0"/>
              <w:left w:val="single" w:color="auto" w:sz="4" w:space="0"/>
            </w:tcBorders>
            <w:shd w:val="clear" w:color="auto" w:fill="FFFFFF"/>
            <w:noWrap w:val="0"/>
            <w:vAlign w:val="center"/>
          </w:tcPr>
          <w:p w14:paraId="1891AC27">
            <w:pPr>
              <w:spacing w:after="40" w:line="300" w:lineRule="exact"/>
              <w:jc w:val="center"/>
              <w:rPr>
                <w:rFonts w:hint="default"/>
                <w:color w:val="000000"/>
                <w:kern w:val="0"/>
                <w:sz w:val="21"/>
                <w:szCs w:val="21"/>
                <w:lang w:bidi="en-US"/>
              </w:rPr>
            </w:pPr>
            <w:r>
              <w:rPr>
                <w:color w:val="000000"/>
                <w:kern w:val="0"/>
                <w:sz w:val="21"/>
                <w:szCs w:val="21"/>
                <w:lang w:bidi="en-US"/>
              </w:rPr>
              <w:t>重金属水质自动分析仪</w:t>
            </w:r>
          </w:p>
          <w:p w14:paraId="1A2E067C">
            <w:pPr>
              <w:spacing w:after="40" w:line="300" w:lineRule="exact"/>
              <w:jc w:val="center"/>
              <w:rPr>
                <w:rFonts w:hint="default"/>
                <w:color w:val="000000"/>
                <w:kern w:val="0"/>
                <w:sz w:val="21"/>
                <w:szCs w:val="21"/>
                <w:lang w:bidi="en-US"/>
              </w:rPr>
            </w:pPr>
            <w:r>
              <w:rPr>
                <w:color w:val="000000"/>
                <w:kern w:val="0"/>
                <w:sz w:val="21"/>
                <w:szCs w:val="21"/>
                <w:lang w:bidi="en-US"/>
              </w:rPr>
              <w:t>(汞、铭、镉、铅和类金属砷)</w:t>
            </w:r>
          </w:p>
        </w:tc>
        <w:tc>
          <w:tcPr>
            <w:tcW w:w="3117" w:type="pct"/>
            <w:tcBorders>
              <w:top w:val="single" w:color="auto" w:sz="4" w:space="0"/>
              <w:left w:val="single" w:color="auto" w:sz="4" w:space="0"/>
            </w:tcBorders>
            <w:shd w:val="clear" w:color="auto" w:fill="FFFFFF"/>
            <w:noWrap w:val="0"/>
            <w:vAlign w:val="center"/>
          </w:tcPr>
          <w:p w14:paraId="1D3BF775">
            <w:pPr>
              <w:spacing w:line="300" w:lineRule="exact"/>
              <w:rPr>
                <w:rFonts w:hint="default"/>
                <w:color w:val="000000"/>
                <w:kern w:val="0"/>
                <w:sz w:val="21"/>
                <w:szCs w:val="21"/>
                <w:lang w:bidi="en-US"/>
              </w:rPr>
            </w:pPr>
            <w:r>
              <w:rPr>
                <w:color w:val="000000"/>
                <w:kern w:val="0"/>
                <w:sz w:val="21"/>
                <w:szCs w:val="21"/>
                <w:lang w:bidi="en-US"/>
              </w:rPr>
              <w:t>六价铬水质监测设备符合《六价铬水质自动在线监测仪技术要求》(HJ/T609-2011)。重复性小于±10%，零点漂移±5%，量程漂移±10%。</w:t>
            </w:r>
          </w:p>
        </w:tc>
        <w:tc>
          <w:tcPr>
            <w:tcW w:w="802" w:type="pct"/>
            <w:tcBorders>
              <w:top w:val="single" w:color="auto" w:sz="4" w:space="0"/>
              <w:left w:val="single" w:color="auto" w:sz="4" w:space="0"/>
              <w:right w:val="single" w:color="auto" w:sz="4" w:space="0"/>
            </w:tcBorders>
            <w:shd w:val="clear" w:color="auto" w:fill="FFFFFF"/>
            <w:noWrap w:val="0"/>
            <w:vAlign w:val="center"/>
          </w:tcPr>
          <w:p w14:paraId="6699A12B">
            <w:pPr>
              <w:spacing w:line="300" w:lineRule="exact"/>
              <w:jc w:val="center"/>
              <w:rPr>
                <w:rFonts w:hint="default"/>
                <w:color w:val="000000"/>
                <w:kern w:val="0"/>
                <w:sz w:val="21"/>
                <w:szCs w:val="21"/>
                <w:lang w:eastAsia="en-US" w:bidi="en-US"/>
              </w:rPr>
            </w:pPr>
            <w:r>
              <w:rPr>
                <w:color w:val="000000"/>
                <w:kern w:val="0"/>
                <w:sz w:val="21"/>
                <w:szCs w:val="21"/>
                <w:lang w:eastAsia="en-US" w:bidi="en-US"/>
              </w:rPr>
              <w:t>水质污染监测</w:t>
            </w:r>
          </w:p>
        </w:tc>
      </w:tr>
      <w:tr w14:paraId="3FAFC33A">
        <w:tblPrEx>
          <w:tblCellMar>
            <w:top w:w="0" w:type="dxa"/>
            <w:left w:w="10" w:type="dxa"/>
            <w:bottom w:w="0" w:type="dxa"/>
            <w:right w:w="10" w:type="dxa"/>
          </w:tblCellMar>
        </w:tblPrEx>
        <w:trPr>
          <w:trHeight w:val="3043" w:hRule="exact"/>
          <w:jc w:val="center"/>
        </w:trPr>
        <w:tc>
          <w:tcPr>
            <w:tcW w:w="250" w:type="pct"/>
            <w:tcBorders>
              <w:top w:val="single" w:color="auto" w:sz="4" w:space="0"/>
              <w:left w:val="single" w:color="auto" w:sz="4" w:space="0"/>
            </w:tcBorders>
            <w:shd w:val="clear" w:color="auto" w:fill="FFFFFF"/>
            <w:noWrap w:val="0"/>
            <w:vAlign w:val="center"/>
          </w:tcPr>
          <w:p w14:paraId="567494EC">
            <w:pPr>
              <w:jc w:val="center"/>
              <w:rPr>
                <w:rFonts w:hint="default"/>
                <w:color w:val="000000"/>
                <w:kern w:val="0"/>
                <w:sz w:val="21"/>
                <w:szCs w:val="21"/>
                <w:lang w:eastAsia="en-US" w:bidi="en-US"/>
              </w:rPr>
            </w:pPr>
            <w:r>
              <w:rPr>
                <w:color w:val="000000"/>
                <w:kern w:val="0"/>
                <w:sz w:val="21"/>
                <w:szCs w:val="21"/>
                <w:lang w:eastAsia="en-US" w:bidi="en-US"/>
              </w:rPr>
              <w:t>8</w:t>
            </w:r>
          </w:p>
        </w:tc>
        <w:tc>
          <w:tcPr>
            <w:tcW w:w="830" w:type="pct"/>
            <w:tcBorders>
              <w:top w:val="single" w:color="auto" w:sz="4" w:space="0"/>
              <w:left w:val="single" w:color="auto" w:sz="4" w:space="0"/>
            </w:tcBorders>
            <w:shd w:val="clear" w:color="auto" w:fill="FFFFFF"/>
            <w:noWrap w:val="0"/>
            <w:vAlign w:val="center"/>
          </w:tcPr>
          <w:p w14:paraId="0FDD568E">
            <w:pPr>
              <w:spacing w:line="300" w:lineRule="exact"/>
              <w:jc w:val="center"/>
              <w:rPr>
                <w:rFonts w:hint="default"/>
                <w:color w:val="000000"/>
                <w:kern w:val="0"/>
                <w:sz w:val="21"/>
                <w:szCs w:val="21"/>
                <w:lang w:bidi="en-US"/>
              </w:rPr>
            </w:pPr>
            <w:r>
              <w:rPr>
                <w:color w:val="000000"/>
                <w:kern w:val="0"/>
                <w:sz w:val="21"/>
                <w:szCs w:val="21"/>
                <w:lang w:bidi="en-US"/>
              </w:rPr>
              <w:t>五参数水质在线监测仪</w:t>
            </w:r>
          </w:p>
        </w:tc>
        <w:tc>
          <w:tcPr>
            <w:tcW w:w="3117" w:type="pct"/>
            <w:tcBorders>
              <w:top w:val="single" w:color="auto" w:sz="4" w:space="0"/>
              <w:left w:val="single" w:color="auto" w:sz="4" w:space="0"/>
            </w:tcBorders>
            <w:shd w:val="clear" w:color="auto" w:fill="FFFFFF"/>
            <w:noWrap w:val="0"/>
            <w:vAlign w:val="center"/>
          </w:tcPr>
          <w:p w14:paraId="5DE8485A">
            <w:pPr>
              <w:spacing w:line="300" w:lineRule="exact"/>
              <w:rPr>
                <w:rFonts w:hint="default"/>
                <w:color w:val="000000"/>
                <w:kern w:val="0"/>
                <w:sz w:val="21"/>
                <w:szCs w:val="21"/>
                <w:lang w:bidi="en-US"/>
              </w:rPr>
            </w:pPr>
            <w:r>
              <w:rPr>
                <w:color w:val="000000"/>
                <w:kern w:val="0"/>
                <w:sz w:val="21"/>
                <w:szCs w:val="21"/>
                <w:lang w:bidi="en-US"/>
              </w:rPr>
              <w:t>符合《pH水质自动分析仪技术要求》(HJ/T96-2003)、《电导率水质自动分析仪技术要求》(HJ/T97-2003)、《浊度水质自动分析仪技术要求》(HJ/T98-2003)、《溶解氧水质自动分析仪技术要求》(HJ/T99-2003)要求。水温测定范围0-60℃，测量误差土0.5℃；pH测定范围0～14，响应时间＜0.5min，漂移±0.1pH；溶解氧测定范围0～20mg/L，响应时间2min以内，重复性±0.3mg/L，零点漂移土0.3mg/L，量程漂移土0.3mg/L；电导率测定范围0～500mS/cm，响应时间＜0.5min，漂移±1%；浊度重复性±5%，零点漂移±3%，量程漂移±5%。</w:t>
            </w:r>
          </w:p>
        </w:tc>
        <w:tc>
          <w:tcPr>
            <w:tcW w:w="802" w:type="pct"/>
            <w:tcBorders>
              <w:top w:val="single" w:color="auto" w:sz="4" w:space="0"/>
              <w:left w:val="single" w:color="auto" w:sz="4" w:space="0"/>
              <w:right w:val="single" w:color="auto" w:sz="4" w:space="0"/>
            </w:tcBorders>
            <w:shd w:val="clear" w:color="auto" w:fill="FFFFFF"/>
            <w:noWrap w:val="0"/>
            <w:vAlign w:val="center"/>
          </w:tcPr>
          <w:p w14:paraId="4C4A643D">
            <w:pPr>
              <w:spacing w:line="300" w:lineRule="exact"/>
              <w:jc w:val="center"/>
              <w:rPr>
                <w:rFonts w:hint="default"/>
                <w:color w:val="000000"/>
                <w:kern w:val="0"/>
                <w:sz w:val="21"/>
                <w:szCs w:val="21"/>
                <w:lang w:eastAsia="en-US" w:bidi="en-US"/>
              </w:rPr>
            </w:pPr>
            <w:r>
              <w:rPr>
                <w:color w:val="000000"/>
                <w:kern w:val="0"/>
                <w:sz w:val="21"/>
                <w:szCs w:val="21"/>
                <w:lang w:eastAsia="en-US" w:bidi="en-US"/>
              </w:rPr>
              <w:t>水质污染监测</w:t>
            </w:r>
          </w:p>
        </w:tc>
      </w:tr>
      <w:tr w14:paraId="7EAE60FF">
        <w:tblPrEx>
          <w:tblCellMar>
            <w:top w:w="0" w:type="dxa"/>
            <w:left w:w="10" w:type="dxa"/>
            <w:bottom w:w="0" w:type="dxa"/>
            <w:right w:w="10" w:type="dxa"/>
          </w:tblCellMar>
        </w:tblPrEx>
        <w:trPr>
          <w:trHeight w:val="2635" w:hRule="exact"/>
          <w:jc w:val="center"/>
        </w:trPr>
        <w:tc>
          <w:tcPr>
            <w:tcW w:w="250" w:type="pct"/>
            <w:tcBorders>
              <w:top w:val="single" w:color="auto" w:sz="4" w:space="0"/>
              <w:left w:val="single" w:color="auto" w:sz="4" w:space="0"/>
            </w:tcBorders>
            <w:shd w:val="clear" w:color="auto" w:fill="FFFFFF"/>
            <w:noWrap w:val="0"/>
            <w:vAlign w:val="center"/>
          </w:tcPr>
          <w:p w14:paraId="221447F0">
            <w:pPr>
              <w:jc w:val="center"/>
              <w:rPr>
                <w:rFonts w:hint="default"/>
                <w:color w:val="000000"/>
                <w:kern w:val="0"/>
                <w:sz w:val="21"/>
                <w:szCs w:val="21"/>
                <w:lang w:eastAsia="en-US" w:bidi="en-US"/>
              </w:rPr>
            </w:pPr>
            <w:r>
              <w:rPr>
                <w:color w:val="000000"/>
                <w:kern w:val="0"/>
                <w:sz w:val="21"/>
                <w:szCs w:val="21"/>
                <w:lang w:eastAsia="en-US" w:bidi="en-US"/>
              </w:rPr>
              <w:t>9</w:t>
            </w:r>
          </w:p>
        </w:tc>
        <w:tc>
          <w:tcPr>
            <w:tcW w:w="830" w:type="pct"/>
            <w:tcBorders>
              <w:top w:val="single" w:color="auto" w:sz="4" w:space="0"/>
              <w:left w:val="single" w:color="auto" w:sz="4" w:space="0"/>
            </w:tcBorders>
            <w:shd w:val="clear" w:color="auto" w:fill="FFFFFF"/>
            <w:noWrap w:val="0"/>
            <w:vAlign w:val="center"/>
          </w:tcPr>
          <w:p w14:paraId="6D08ADF8">
            <w:pPr>
              <w:spacing w:line="300" w:lineRule="exact"/>
              <w:jc w:val="center"/>
              <w:rPr>
                <w:rFonts w:hint="default"/>
                <w:color w:val="000000"/>
                <w:kern w:val="0"/>
                <w:sz w:val="21"/>
                <w:szCs w:val="21"/>
                <w:lang w:eastAsia="en-US" w:bidi="en-US"/>
              </w:rPr>
            </w:pPr>
            <w:r>
              <w:rPr>
                <w:color w:val="000000"/>
                <w:kern w:val="0"/>
                <w:sz w:val="21"/>
                <w:szCs w:val="21"/>
                <w:lang w:eastAsia="en-US" w:bidi="en-US"/>
              </w:rPr>
              <w:t>污水流量计</w:t>
            </w:r>
          </w:p>
        </w:tc>
        <w:tc>
          <w:tcPr>
            <w:tcW w:w="3117" w:type="pct"/>
            <w:tcBorders>
              <w:top w:val="single" w:color="auto" w:sz="4" w:space="0"/>
              <w:left w:val="single" w:color="auto" w:sz="4" w:space="0"/>
            </w:tcBorders>
            <w:shd w:val="clear" w:color="auto" w:fill="FFFFFF"/>
            <w:noWrap w:val="0"/>
            <w:vAlign w:val="center"/>
          </w:tcPr>
          <w:p w14:paraId="6CFA7640">
            <w:pPr>
              <w:spacing w:line="300" w:lineRule="exact"/>
              <w:rPr>
                <w:rFonts w:hint="default"/>
                <w:color w:val="000000"/>
                <w:kern w:val="0"/>
                <w:sz w:val="21"/>
                <w:szCs w:val="21"/>
                <w:lang w:bidi="en-US"/>
              </w:rPr>
            </w:pPr>
            <w:r>
              <w:rPr>
                <w:color w:val="000000"/>
                <w:kern w:val="0"/>
                <w:sz w:val="21"/>
                <w:szCs w:val="21"/>
                <w:lang w:bidi="en-US"/>
              </w:rPr>
              <w:t>超声波明渠污水流量计符合《超声波明渠污水流量计》(HJ/T15-2007)要求。二次仪表基本误差＜1%，绝缘电阻＞20MQ，绝缘强度＞1500kv，液位测量误差＜3mm，流量测量误差＜5%，计时误差＜5min/d，平均无故障运行时间＞200d。</w:t>
            </w:r>
          </w:p>
          <w:p w14:paraId="2F8EEEA5">
            <w:pPr>
              <w:spacing w:line="300" w:lineRule="exact"/>
              <w:rPr>
                <w:rFonts w:hint="default"/>
                <w:color w:val="000000"/>
                <w:kern w:val="0"/>
                <w:sz w:val="21"/>
                <w:szCs w:val="21"/>
                <w:lang w:bidi="en-US"/>
              </w:rPr>
            </w:pPr>
            <w:r>
              <w:rPr>
                <w:color w:val="000000"/>
                <w:kern w:val="0"/>
                <w:sz w:val="21"/>
                <w:szCs w:val="21"/>
                <w:lang w:bidi="en-US"/>
              </w:rPr>
              <w:t>电磁管道流量计符合《环境保护产品技术要求电磁管道流量计》(HJ/T367-2007)要求。流量计的基本误差符合HJ/T367；流量计经连续30天稳定性试验，零点漂移应不超过基本误差限绝对值的1/3。</w:t>
            </w:r>
          </w:p>
        </w:tc>
        <w:tc>
          <w:tcPr>
            <w:tcW w:w="802" w:type="pct"/>
            <w:tcBorders>
              <w:top w:val="single" w:color="auto" w:sz="4" w:space="0"/>
              <w:left w:val="single" w:color="auto" w:sz="4" w:space="0"/>
              <w:right w:val="single" w:color="auto" w:sz="4" w:space="0"/>
            </w:tcBorders>
            <w:shd w:val="clear" w:color="auto" w:fill="FFFFFF"/>
            <w:noWrap w:val="0"/>
            <w:vAlign w:val="center"/>
          </w:tcPr>
          <w:p w14:paraId="6B540A1E">
            <w:pPr>
              <w:spacing w:line="300" w:lineRule="exact"/>
              <w:jc w:val="center"/>
              <w:rPr>
                <w:rFonts w:hint="default"/>
                <w:color w:val="000000"/>
                <w:kern w:val="0"/>
                <w:sz w:val="21"/>
                <w:szCs w:val="21"/>
                <w:lang w:eastAsia="en-US" w:bidi="en-US"/>
              </w:rPr>
            </w:pPr>
            <w:r>
              <w:rPr>
                <w:color w:val="000000"/>
                <w:kern w:val="0"/>
                <w:sz w:val="21"/>
                <w:szCs w:val="21"/>
                <w:lang w:eastAsia="en-US" w:bidi="en-US"/>
              </w:rPr>
              <w:t>水质污染监测</w:t>
            </w:r>
          </w:p>
        </w:tc>
      </w:tr>
      <w:tr w14:paraId="404E0560">
        <w:tblPrEx>
          <w:tblCellMar>
            <w:top w:w="0" w:type="dxa"/>
            <w:left w:w="10" w:type="dxa"/>
            <w:bottom w:w="0" w:type="dxa"/>
            <w:right w:w="10" w:type="dxa"/>
          </w:tblCellMar>
        </w:tblPrEx>
        <w:trPr>
          <w:trHeight w:val="1283" w:hRule="exact"/>
          <w:jc w:val="center"/>
        </w:trPr>
        <w:tc>
          <w:tcPr>
            <w:tcW w:w="250" w:type="pct"/>
            <w:tcBorders>
              <w:top w:val="single" w:color="auto" w:sz="4" w:space="0"/>
              <w:left w:val="single" w:color="auto" w:sz="4" w:space="0"/>
            </w:tcBorders>
            <w:shd w:val="clear" w:color="auto" w:fill="FFFFFF"/>
            <w:noWrap w:val="0"/>
            <w:vAlign w:val="center"/>
          </w:tcPr>
          <w:p w14:paraId="1BA2D958">
            <w:pPr>
              <w:jc w:val="center"/>
              <w:rPr>
                <w:rFonts w:hint="default"/>
                <w:color w:val="000000"/>
                <w:kern w:val="0"/>
                <w:sz w:val="21"/>
                <w:szCs w:val="21"/>
                <w:lang w:eastAsia="en-US" w:bidi="en-US"/>
              </w:rPr>
            </w:pPr>
            <w:r>
              <w:rPr>
                <w:color w:val="000000"/>
                <w:kern w:val="0"/>
                <w:sz w:val="21"/>
                <w:szCs w:val="21"/>
                <w:lang w:eastAsia="en-US" w:bidi="en-US"/>
              </w:rPr>
              <w:t>10</w:t>
            </w:r>
          </w:p>
        </w:tc>
        <w:tc>
          <w:tcPr>
            <w:tcW w:w="830" w:type="pct"/>
            <w:tcBorders>
              <w:top w:val="single" w:color="auto" w:sz="4" w:space="0"/>
              <w:left w:val="single" w:color="auto" w:sz="4" w:space="0"/>
            </w:tcBorders>
            <w:shd w:val="clear" w:color="auto" w:fill="FFFFFF"/>
            <w:noWrap w:val="0"/>
            <w:vAlign w:val="center"/>
          </w:tcPr>
          <w:p w14:paraId="19C515D0">
            <w:pPr>
              <w:spacing w:line="300" w:lineRule="exact"/>
              <w:jc w:val="center"/>
              <w:rPr>
                <w:rFonts w:hint="default"/>
                <w:color w:val="000000"/>
                <w:kern w:val="0"/>
                <w:sz w:val="21"/>
                <w:szCs w:val="21"/>
                <w:lang w:eastAsia="en-US" w:bidi="en-US"/>
              </w:rPr>
            </w:pPr>
            <w:r>
              <w:rPr>
                <w:color w:val="000000"/>
                <w:kern w:val="0"/>
                <w:sz w:val="21"/>
                <w:szCs w:val="21"/>
                <w:lang w:eastAsia="en-US" w:bidi="en-US"/>
              </w:rPr>
              <w:t>水质自动采样器</w:t>
            </w:r>
          </w:p>
        </w:tc>
        <w:tc>
          <w:tcPr>
            <w:tcW w:w="3117" w:type="pct"/>
            <w:tcBorders>
              <w:top w:val="single" w:color="auto" w:sz="4" w:space="0"/>
              <w:left w:val="single" w:color="auto" w:sz="4" w:space="0"/>
            </w:tcBorders>
            <w:shd w:val="clear" w:color="auto" w:fill="FFFFFF"/>
            <w:noWrap w:val="0"/>
            <w:vAlign w:val="center"/>
          </w:tcPr>
          <w:p w14:paraId="2CF731BB">
            <w:pPr>
              <w:spacing w:line="300" w:lineRule="exact"/>
              <w:rPr>
                <w:rFonts w:hint="default"/>
                <w:color w:val="000000"/>
                <w:kern w:val="0"/>
                <w:sz w:val="21"/>
                <w:szCs w:val="21"/>
                <w:lang w:bidi="en-US"/>
              </w:rPr>
            </w:pPr>
            <w:r>
              <w:rPr>
                <w:color w:val="000000"/>
                <w:kern w:val="0"/>
                <w:sz w:val="21"/>
                <w:szCs w:val="21"/>
                <w:lang w:bidi="en-US"/>
              </w:rPr>
              <w:t>符合《水质自动采样器技术要求及检测方法》(HJ/T372-2007)要求。采样量误差±10%，等比例采样量误差±15%，机箱内温度控制误差土2℃。</w:t>
            </w:r>
          </w:p>
        </w:tc>
        <w:tc>
          <w:tcPr>
            <w:tcW w:w="802" w:type="pct"/>
            <w:tcBorders>
              <w:top w:val="single" w:color="auto" w:sz="4" w:space="0"/>
              <w:left w:val="single" w:color="auto" w:sz="4" w:space="0"/>
              <w:right w:val="single" w:color="auto" w:sz="4" w:space="0"/>
            </w:tcBorders>
            <w:shd w:val="clear" w:color="auto" w:fill="FFFFFF"/>
            <w:noWrap w:val="0"/>
            <w:vAlign w:val="center"/>
          </w:tcPr>
          <w:p w14:paraId="50E6F606">
            <w:pPr>
              <w:spacing w:line="300" w:lineRule="exact"/>
              <w:jc w:val="center"/>
              <w:rPr>
                <w:rFonts w:hint="default"/>
                <w:color w:val="000000"/>
                <w:kern w:val="0"/>
                <w:sz w:val="21"/>
                <w:szCs w:val="21"/>
                <w:lang w:eastAsia="en-US" w:bidi="en-US"/>
              </w:rPr>
            </w:pPr>
            <w:r>
              <w:rPr>
                <w:color w:val="000000"/>
                <w:kern w:val="0"/>
                <w:sz w:val="21"/>
                <w:szCs w:val="21"/>
                <w:lang w:eastAsia="en-US" w:bidi="en-US"/>
              </w:rPr>
              <w:t>水质污染监测</w:t>
            </w:r>
          </w:p>
        </w:tc>
      </w:tr>
      <w:tr w14:paraId="41ECB7CB">
        <w:tblPrEx>
          <w:tblCellMar>
            <w:top w:w="0" w:type="dxa"/>
            <w:left w:w="10" w:type="dxa"/>
            <w:bottom w:w="0" w:type="dxa"/>
            <w:right w:w="10" w:type="dxa"/>
          </w:tblCellMar>
        </w:tblPrEx>
        <w:trPr>
          <w:trHeight w:val="1682" w:hRule="exact"/>
          <w:jc w:val="center"/>
        </w:trPr>
        <w:tc>
          <w:tcPr>
            <w:tcW w:w="250" w:type="pct"/>
            <w:tcBorders>
              <w:top w:val="single" w:color="auto" w:sz="4" w:space="0"/>
              <w:left w:val="single" w:color="auto" w:sz="4" w:space="0"/>
            </w:tcBorders>
            <w:shd w:val="clear" w:color="auto" w:fill="FFFFFF"/>
            <w:noWrap w:val="0"/>
            <w:vAlign w:val="center"/>
          </w:tcPr>
          <w:p w14:paraId="6BDE2253">
            <w:pPr>
              <w:jc w:val="center"/>
              <w:rPr>
                <w:rFonts w:hint="default"/>
                <w:color w:val="000000"/>
                <w:kern w:val="0"/>
                <w:sz w:val="21"/>
                <w:szCs w:val="21"/>
                <w:lang w:eastAsia="en-US" w:bidi="en-US"/>
              </w:rPr>
            </w:pPr>
            <w:r>
              <w:rPr>
                <w:color w:val="000000"/>
                <w:kern w:val="0"/>
                <w:sz w:val="21"/>
                <w:szCs w:val="21"/>
                <w:lang w:eastAsia="en-US" w:bidi="en-US"/>
              </w:rPr>
              <w:t>11</w:t>
            </w:r>
          </w:p>
        </w:tc>
        <w:tc>
          <w:tcPr>
            <w:tcW w:w="830" w:type="pct"/>
            <w:tcBorders>
              <w:top w:val="single" w:color="auto" w:sz="4" w:space="0"/>
              <w:left w:val="single" w:color="auto" w:sz="4" w:space="0"/>
            </w:tcBorders>
            <w:shd w:val="clear" w:color="auto" w:fill="FFFFFF"/>
            <w:noWrap w:val="0"/>
            <w:vAlign w:val="center"/>
          </w:tcPr>
          <w:p w14:paraId="18BA62C2">
            <w:pPr>
              <w:spacing w:line="300" w:lineRule="exact"/>
              <w:jc w:val="center"/>
              <w:rPr>
                <w:rFonts w:hint="default"/>
                <w:color w:val="000000"/>
                <w:kern w:val="0"/>
                <w:sz w:val="21"/>
                <w:szCs w:val="21"/>
                <w:lang w:bidi="en-US"/>
              </w:rPr>
            </w:pPr>
            <w:r>
              <w:rPr>
                <w:color w:val="000000"/>
                <w:kern w:val="0"/>
                <w:sz w:val="21"/>
                <w:szCs w:val="21"/>
                <w:lang w:bidi="en-US"/>
              </w:rPr>
              <w:t>污染源在线自动监控数据采集传输仪</w:t>
            </w:r>
          </w:p>
        </w:tc>
        <w:tc>
          <w:tcPr>
            <w:tcW w:w="3117" w:type="pct"/>
            <w:tcBorders>
              <w:top w:val="single" w:color="auto" w:sz="4" w:space="0"/>
              <w:left w:val="single" w:color="auto" w:sz="4" w:space="0"/>
            </w:tcBorders>
            <w:shd w:val="clear" w:color="auto" w:fill="FFFFFF"/>
            <w:noWrap w:val="0"/>
            <w:vAlign w:val="center"/>
          </w:tcPr>
          <w:p w14:paraId="5E8DD905">
            <w:pPr>
              <w:spacing w:line="300" w:lineRule="exact"/>
              <w:rPr>
                <w:rFonts w:hint="default"/>
                <w:color w:val="000000"/>
                <w:kern w:val="0"/>
                <w:sz w:val="21"/>
                <w:szCs w:val="21"/>
                <w:lang w:bidi="en-US"/>
              </w:rPr>
            </w:pPr>
            <w:r>
              <w:rPr>
                <w:color w:val="000000"/>
                <w:kern w:val="0"/>
                <w:sz w:val="21"/>
                <w:szCs w:val="21"/>
                <w:lang w:bidi="en-US"/>
              </w:rPr>
              <w:t>符合《污染源在线自动监控(监测)数据采集传输仪技术要求》(HJ477-2009)要求。数据采集误差＜1%。系统时钟计时误差土0.5%。至少存储144000条记录，平均无故障连续运行时间在1440h以上，绝缘阻抗20MQ。</w:t>
            </w:r>
          </w:p>
        </w:tc>
        <w:tc>
          <w:tcPr>
            <w:tcW w:w="802" w:type="pct"/>
            <w:tcBorders>
              <w:top w:val="single" w:color="auto" w:sz="4" w:space="0"/>
              <w:left w:val="single" w:color="auto" w:sz="4" w:space="0"/>
              <w:right w:val="single" w:color="auto" w:sz="4" w:space="0"/>
            </w:tcBorders>
            <w:shd w:val="clear" w:color="auto" w:fill="FFFFFF"/>
            <w:noWrap w:val="0"/>
            <w:vAlign w:val="center"/>
          </w:tcPr>
          <w:p w14:paraId="4376F6B5">
            <w:pPr>
              <w:spacing w:line="300" w:lineRule="exact"/>
              <w:jc w:val="center"/>
              <w:rPr>
                <w:rFonts w:hint="default"/>
                <w:color w:val="000000"/>
                <w:kern w:val="0"/>
                <w:sz w:val="21"/>
                <w:szCs w:val="21"/>
                <w:lang w:bidi="en-US"/>
              </w:rPr>
            </w:pPr>
            <w:r>
              <w:rPr>
                <w:color w:val="000000"/>
                <w:kern w:val="0"/>
                <w:sz w:val="21"/>
                <w:szCs w:val="21"/>
                <w:lang w:bidi="en-US"/>
              </w:rPr>
              <w:t>水质污染监测、大气污染监测</w:t>
            </w:r>
          </w:p>
        </w:tc>
      </w:tr>
      <w:tr w14:paraId="6C5C7110">
        <w:tblPrEx>
          <w:tblCellMar>
            <w:top w:w="0" w:type="dxa"/>
            <w:left w:w="10" w:type="dxa"/>
            <w:bottom w:w="0" w:type="dxa"/>
            <w:right w:w="10" w:type="dxa"/>
          </w:tblCellMar>
        </w:tblPrEx>
        <w:trPr>
          <w:trHeight w:val="1408" w:hRule="exact"/>
          <w:jc w:val="center"/>
        </w:trPr>
        <w:tc>
          <w:tcPr>
            <w:tcW w:w="250" w:type="pct"/>
            <w:tcBorders>
              <w:top w:val="single" w:color="auto" w:sz="4" w:space="0"/>
              <w:left w:val="single" w:color="auto" w:sz="4" w:space="0"/>
              <w:bottom w:val="single" w:color="auto" w:sz="4" w:space="0"/>
            </w:tcBorders>
            <w:shd w:val="clear" w:color="auto" w:fill="FFFFFF"/>
            <w:noWrap w:val="0"/>
            <w:vAlign w:val="center"/>
          </w:tcPr>
          <w:p w14:paraId="07BB82FE">
            <w:pPr>
              <w:jc w:val="center"/>
              <w:rPr>
                <w:rFonts w:hint="default"/>
                <w:color w:val="000000"/>
                <w:kern w:val="0"/>
                <w:sz w:val="21"/>
                <w:szCs w:val="21"/>
                <w:lang w:eastAsia="en-US" w:bidi="en-US"/>
              </w:rPr>
            </w:pPr>
            <w:r>
              <w:rPr>
                <w:color w:val="000000"/>
                <w:kern w:val="0"/>
                <w:sz w:val="21"/>
                <w:szCs w:val="21"/>
                <w:lang w:eastAsia="en-US" w:bidi="en-US"/>
              </w:rPr>
              <w:t>12</w:t>
            </w:r>
          </w:p>
        </w:tc>
        <w:tc>
          <w:tcPr>
            <w:tcW w:w="830" w:type="pct"/>
            <w:tcBorders>
              <w:top w:val="single" w:color="auto" w:sz="4" w:space="0"/>
              <w:left w:val="single" w:color="auto" w:sz="4" w:space="0"/>
              <w:bottom w:val="single" w:color="auto" w:sz="4" w:space="0"/>
            </w:tcBorders>
            <w:shd w:val="clear" w:color="auto" w:fill="FFFFFF"/>
            <w:noWrap w:val="0"/>
            <w:vAlign w:val="center"/>
          </w:tcPr>
          <w:p w14:paraId="1DA6487D">
            <w:pPr>
              <w:spacing w:line="300" w:lineRule="exact"/>
              <w:jc w:val="center"/>
              <w:rPr>
                <w:rFonts w:hint="default"/>
                <w:color w:val="000000"/>
                <w:kern w:val="0"/>
                <w:sz w:val="21"/>
                <w:szCs w:val="21"/>
                <w:lang w:eastAsia="en-US" w:bidi="en-US"/>
              </w:rPr>
            </w:pPr>
            <w:r>
              <w:rPr>
                <w:color w:val="000000"/>
                <w:kern w:val="0"/>
                <w:sz w:val="21"/>
                <w:szCs w:val="21"/>
                <w:lang w:eastAsia="en-US" w:bidi="en-US"/>
              </w:rPr>
              <w:t>污染源过程监控系统</w:t>
            </w:r>
          </w:p>
        </w:tc>
        <w:tc>
          <w:tcPr>
            <w:tcW w:w="3117" w:type="pct"/>
            <w:tcBorders>
              <w:top w:val="single" w:color="auto" w:sz="4" w:space="0"/>
              <w:left w:val="single" w:color="auto" w:sz="4" w:space="0"/>
              <w:bottom w:val="single" w:color="auto" w:sz="4" w:space="0"/>
            </w:tcBorders>
            <w:shd w:val="clear" w:color="auto" w:fill="FFFFFF"/>
            <w:noWrap w:val="0"/>
            <w:vAlign w:val="center"/>
          </w:tcPr>
          <w:p w14:paraId="42ACF2A7">
            <w:pPr>
              <w:spacing w:line="300" w:lineRule="exact"/>
              <w:rPr>
                <w:rFonts w:hint="default"/>
                <w:color w:val="000000"/>
                <w:kern w:val="0"/>
                <w:sz w:val="21"/>
                <w:szCs w:val="21"/>
                <w:lang w:bidi="en-US"/>
              </w:rPr>
            </w:pPr>
            <w:r>
              <w:rPr>
                <w:color w:val="000000"/>
                <w:kern w:val="0"/>
                <w:sz w:val="21"/>
                <w:szCs w:val="21"/>
                <w:lang w:bidi="en-US"/>
              </w:rPr>
              <w:t>数据采集误差＜1%，系统时钟计时误差土0.1%。绝缘阻抗＞20MQ，至少存储144000条记录，平均无故障连续运行时间在1440h以上。</w:t>
            </w:r>
          </w:p>
        </w:tc>
        <w:tc>
          <w:tcPr>
            <w:tcW w:w="802"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204557A0">
            <w:pPr>
              <w:spacing w:line="300" w:lineRule="exact"/>
              <w:jc w:val="center"/>
              <w:rPr>
                <w:rFonts w:hint="default"/>
                <w:color w:val="000000"/>
                <w:kern w:val="0"/>
                <w:sz w:val="21"/>
                <w:szCs w:val="21"/>
                <w:lang w:bidi="en-US"/>
              </w:rPr>
            </w:pPr>
            <w:r>
              <w:rPr>
                <w:color w:val="000000"/>
                <w:kern w:val="0"/>
                <w:sz w:val="21"/>
                <w:szCs w:val="21"/>
                <w:lang w:bidi="en-US"/>
              </w:rPr>
              <w:t>水质污染监测、大气污染监测</w:t>
            </w:r>
          </w:p>
        </w:tc>
      </w:tr>
    </w:tbl>
    <w:p w14:paraId="57D6CE5B">
      <w:pPr>
        <w:spacing w:line="1" w:lineRule="exact"/>
        <w:jc w:val="left"/>
        <w:rPr>
          <w:rFonts w:ascii="等线" w:hAnsi="等线" w:eastAsia="等线" w:cs="等线"/>
          <w:color w:val="000000"/>
          <w:kern w:val="0"/>
          <w:sz w:val="24"/>
          <w:lang w:bidi="en-US"/>
        </w:rPr>
      </w:pPr>
    </w:p>
    <w:tbl>
      <w:tblPr>
        <w:tblStyle w:val="3"/>
        <w:tblpPr w:leftFromText="180" w:rightFromText="180" w:vertAnchor="text" w:horzAnchor="page" w:tblpX="1567" w:tblpY="4"/>
        <w:tblOverlap w:val="never"/>
        <w:tblW w:w="5266" w:type="pct"/>
        <w:tblInd w:w="0" w:type="dxa"/>
        <w:tblLayout w:type="autofit"/>
        <w:tblCellMar>
          <w:top w:w="0" w:type="dxa"/>
          <w:left w:w="10" w:type="dxa"/>
          <w:bottom w:w="0" w:type="dxa"/>
          <w:right w:w="10" w:type="dxa"/>
        </w:tblCellMar>
      </w:tblPr>
      <w:tblGrid>
        <w:gridCol w:w="436"/>
        <w:gridCol w:w="1449"/>
        <w:gridCol w:w="5446"/>
        <w:gridCol w:w="1437"/>
      </w:tblGrid>
      <w:tr w14:paraId="77D287AF">
        <w:tblPrEx>
          <w:tblCellMar>
            <w:top w:w="0" w:type="dxa"/>
            <w:left w:w="10" w:type="dxa"/>
            <w:bottom w:w="0" w:type="dxa"/>
            <w:right w:w="10" w:type="dxa"/>
          </w:tblCellMar>
        </w:tblPrEx>
        <w:trPr>
          <w:trHeight w:val="1743" w:hRule="exact"/>
        </w:trPr>
        <w:tc>
          <w:tcPr>
            <w:tcW w:w="249" w:type="pct"/>
            <w:tcBorders>
              <w:top w:val="single" w:color="auto" w:sz="4" w:space="0"/>
              <w:left w:val="single" w:color="auto" w:sz="4" w:space="0"/>
            </w:tcBorders>
            <w:shd w:val="clear" w:color="auto" w:fill="FFFFFF"/>
            <w:noWrap w:val="0"/>
            <w:vAlign w:val="center"/>
          </w:tcPr>
          <w:p w14:paraId="3502B3A5">
            <w:pPr>
              <w:jc w:val="center"/>
              <w:rPr>
                <w:rFonts w:hint="default"/>
                <w:color w:val="000000"/>
                <w:kern w:val="0"/>
                <w:sz w:val="21"/>
                <w:szCs w:val="21"/>
                <w:lang w:eastAsia="en-US" w:bidi="en-US"/>
              </w:rPr>
            </w:pPr>
            <w:r>
              <w:rPr>
                <w:color w:val="000000"/>
                <w:kern w:val="0"/>
                <w:sz w:val="21"/>
                <w:szCs w:val="21"/>
                <w:lang w:eastAsia="en-US" w:bidi="en-US"/>
              </w:rPr>
              <w:t>13</w:t>
            </w:r>
          </w:p>
        </w:tc>
        <w:tc>
          <w:tcPr>
            <w:tcW w:w="826" w:type="pct"/>
            <w:tcBorders>
              <w:top w:val="single" w:color="auto" w:sz="4" w:space="0"/>
              <w:left w:val="single" w:color="auto" w:sz="4" w:space="0"/>
            </w:tcBorders>
            <w:shd w:val="clear" w:color="auto" w:fill="FFFFFF"/>
            <w:noWrap w:val="0"/>
            <w:vAlign w:val="center"/>
          </w:tcPr>
          <w:p w14:paraId="5B0CB6FC">
            <w:pPr>
              <w:spacing w:line="300" w:lineRule="exact"/>
              <w:jc w:val="center"/>
              <w:rPr>
                <w:rFonts w:hint="default"/>
                <w:color w:val="000000"/>
                <w:kern w:val="0"/>
                <w:sz w:val="21"/>
                <w:szCs w:val="21"/>
                <w:lang w:bidi="en-US"/>
              </w:rPr>
            </w:pPr>
            <w:r>
              <w:rPr>
                <w:color w:val="000000"/>
                <w:kern w:val="0"/>
                <w:sz w:val="21"/>
                <w:szCs w:val="21"/>
                <w:lang w:bidi="en-US"/>
              </w:rPr>
              <w:t>饮食业油烟在线自动监测仪</w:t>
            </w:r>
          </w:p>
        </w:tc>
        <w:tc>
          <w:tcPr>
            <w:tcW w:w="3104" w:type="pct"/>
            <w:tcBorders>
              <w:top w:val="single" w:color="auto" w:sz="4" w:space="0"/>
              <w:left w:val="single" w:color="auto" w:sz="4" w:space="0"/>
            </w:tcBorders>
            <w:shd w:val="clear" w:color="auto" w:fill="FFFFFF"/>
            <w:noWrap w:val="0"/>
            <w:vAlign w:val="center"/>
          </w:tcPr>
          <w:p w14:paraId="79DA6D32">
            <w:pPr>
              <w:spacing w:line="300" w:lineRule="exact"/>
              <w:jc w:val="left"/>
              <w:rPr>
                <w:rFonts w:hint="default"/>
                <w:color w:val="000000"/>
                <w:kern w:val="0"/>
                <w:sz w:val="21"/>
                <w:szCs w:val="21"/>
                <w:lang w:bidi="en-US"/>
              </w:rPr>
            </w:pPr>
            <w:r>
              <w:rPr>
                <w:color w:val="000000"/>
                <w:kern w:val="0"/>
                <w:sz w:val="21"/>
                <w:szCs w:val="21"/>
                <w:lang w:bidi="en-US"/>
              </w:rPr>
              <w:t>零点漂移：1h零点漂移不超过±0.5mg/m</w:t>
            </w:r>
            <w:r>
              <w:rPr>
                <w:color w:val="000000"/>
                <w:kern w:val="0"/>
                <w:sz w:val="21"/>
                <w:szCs w:val="21"/>
                <w:vertAlign w:val="superscript"/>
                <w:lang w:bidi="en-US"/>
              </w:rPr>
              <w:t>3</w:t>
            </w:r>
            <w:r>
              <w:rPr>
                <w:color w:val="000000"/>
                <w:kern w:val="0"/>
                <w:sz w:val="21"/>
                <w:szCs w:val="21"/>
                <w:lang w:bidi="en-US"/>
              </w:rPr>
              <w:t>；</w:t>
            </w:r>
          </w:p>
          <w:p w14:paraId="63E07B19">
            <w:pPr>
              <w:spacing w:line="300" w:lineRule="exact"/>
              <w:jc w:val="left"/>
              <w:rPr>
                <w:rFonts w:hint="default"/>
                <w:color w:val="000000"/>
                <w:kern w:val="0"/>
                <w:sz w:val="21"/>
                <w:szCs w:val="21"/>
                <w:lang w:bidi="en-US"/>
              </w:rPr>
            </w:pPr>
            <w:r>
              <w:rPr>
                <w:color w:val="000000"/>
                <w:kern w:val="0"/>
                <w:sz w:val="21"/>
                <w:szCs w:val="21"/>
                <w:lang w:bidi="en-US"/>
              </w:rPr>
              <w:t>准确度：与参比方法测定结果平均值的相对误差不超过土20%；</w:t>
            </w:r>
          </w:p>
          <w:p w14:paraId="3DCAE746">
            <w:pPr>
              <w:spacing w:line="300" w:lineRule="exact"/>
              <w:jc w:val="left"/>
              <w:rPr>
                <w:rFonts w:hint="default"/>
                <w:color w:val="000000"/>
                <w:kern w:val="0"/>
                <w:sz w:val="21"/>
                <w:szCs w:val="21"/>
                <w:lang w:bidi="en-US"/>
              </w:rPr>
            </w:pPr>
            <w:r>
              <w:rPr>
                <w:color w:val="000000"/>
                <w:kern w:val="0"/>
                <w:sz w:val="21"/>
                <w:szCs w:val="21"/>
                <w:lang w:bidi="en-US"/>
              </w:rPr>
              <w:t>线性误差：＜10%；</w:t>
            </w:r>
          </w:p>
          <w:p w14:paraId="2C1F44F3">
            <w:pPr>
              <w:spacing w:line="300" w:lineRule="exact"/>
              <w:jc w:val="left"/>
              <w:rPr>
                <w:rFonts w:hint="default"/>
                <w:color w:val="000000"/>
                <w:kern w:val="0"/>
                <w:sz w:val="21"/>
                <w:szCs w:val="21"/>
                <w:lang w:bidi="en-US"/>
              </w:rPr>
            </w:pPr>
            <w:r>
              <w:rPr>
                <w:color w:val="000000"/>
                <w:kern w:val="0"/>
                <w:sz w:val="21"/>
                <w:szCs w:val="21"/>
                <w:lang w:bidi="en-US"/>
              </w:rPr>
              <w:t>绝缘阻抗：＞20MQ。</w:t>
            </w:r>
          </w:p>
        </w:tc>
        <w:tc>
          <w:tcPr>
            <w:tcW w:w="819" w:type="pct"/>
            <w:tcBorders>
              <w:top w:val="single" w:color="auto" w:sz="4" w:space="0"/>
              <w:left w:val="single" w:color="auto" w:sz="4" w:space="0"/>
              <w:right w:val="single" w:color="auto" w:sz="4" w:space="0"/>
            </w:tcBorders>
            <w:shd w:val="clear" w:color="auto" w:fill="FFFFFF"/>
            <w:noWrap w:val="0"/>
            <w:vAlign w:val="center"/>
          </w:tcPr>
          <w:p w14:paraId="6BCC8AF7">
            <w:pPr>
              <w:spacing w:line="300" w:lineRule="exact"/>
              <w:jc w:val="left"/>
              <w:rPr>
                <w:rFonts w:hint="default"/>
                <w:color w:val="000000"/>
                <w:kern w:val="0"/>
                <w:sz w:val="21"/>
                <w:szCs w:val="21"/>
                <w:lang w:eastAsia="en-US" w:bidi="en-US"/>
              </w:rPr>
            </w:pPr>
            <w:r>
              <w:rPr>
                <w:color w:val="000000"/>
                <w:kern w:val="0"/>
                <w:sz w:val="21"/>
                <w:szCs w:val="21"/>
                <w:lang w:eastAsia="en-US" w:bidi="en-US"/>
              </w:rPr>
              <w:t>餐饮业油烟污染监测</w:t>
            </w:r>
          </w:p>
        </w:tc>
      </w:tr>
      <w:tr w14:paraId="7228E69F">
        <w:tblPrEx>
          <w:tblCellMar>
            <w:top w:w="0" w:type="dxa"/>
            <w:left w:w="10" w:type="dxa"/>
            <w:bottom w:w="0" w:type="dxa"/>
            <w:right w:w="10" w:type="dxa"/>
          </w:tblCellMar>
        </w:tblPrEx>
        <w:trPr>
          <w:trHeight w:val="1275" w:hRule="exact"/>
        </w:trPr>
        <w:tc>
          <w:tcPr>
            <w:tcW w:w="249" w:type="pct"/>
            <w:tcBorders>
              <w:top w:val="single" w:color="auto" w:sz="4" w:space="0"/>
              <w:left w:val="single" w:color="auto" w:sz="4" w:space="0"/>
            </w:tcBorders>
            <w:shd w:val="clear" w:color="auto" w:fill="FFFFFF"/>
            <w:noWrap w:val="0"/>
            <w:vAlign w:val="center"/>
          </w:tcPr>
          <w:p w14:paraId="3A5720F1">
            <w:pPr>
              <w:jc w:val="center"/>
              <w:rPr>
                <w:rFonts w:hint="default"/>
                <w:color w:val="000000"/>
                <w:kern w:val="0"/>
                <w:sz w:val="21"/>
                <w:szCs w:val="21"/>
                <w:lang w:eastAsia="en-US" w:bidi="en-US"/>
              </w:rPr>
            </w:pPr>
            <w:r>
              <w:rPr>
                <w:color w:val="000000"/>
                <w:kern w:val="0"/>
                <w:sz w:val="21"/>
                <w:szCs w:val="21"/>
                <w:lang w:eastAsia="en-US" w:bidi="en-US"/>
              </w:rPr>
              <w:t>14</w:t>
            </w:r>
          </w:p>
        </w:tc>
        <w:tc>
          <w:tcPr>
            <w:tcW w:w="826" w:type="pct"/>
            <w:tcBorders>
              <w:top w:val="single" w:color="auto" w:sz="4" w:space="0"/>
              <w:left w:val="single" w:color="auto" w:sz="4" w:space="0"/>
            </w:tcBorders>
            <w:shd w:val="clear" w:color="auto" w:fill="FFFFFF"/>
            <w:noWrap w:val="0"/>
            <w:vAlign w:val="center"/>
          </w:tcPr>
          <w:p w14:paraId="321BAAF0">
            <w:pPr>
              <w:spacing w:line="300" w:lineRule="exact"/>
              <w:jc w:val="left"/>
              <w:rPr>
                <w:rFonts w:hint="default"/>
                <w:color w:val="000000"/>
                <w:kern w:val="0"/>
                <w:sz w:val="21"/>
                <w:szCs w:val="21"/>
                <w:lang w:bidi="en-US"/>
              </w:rPr>
            </w:pPr>
            <w:r>
              <w:rPr>
                <w:color w:val="000000"/>
                <w:kern w:val="0"/>
                <w:sz w:val="21"/>
                <w:szCs w:val="21"/>
                <w:lang w:bidi="en-US"/>
              </w:rPr>
              <w:t>施工扬尘在线自动监测仪</w:t>
            </w:r>
          </w:p>
        </w:tc>
        <w:tc>
          <w:tcPr>
            <w:tcW w:w="3104" w:type="pct"/>
            <w:tcBorders>
              <w:top w:val="single" w:color="auto" w:sz="4" w:space="0"/>
              <w:left w:val="single" w:color="auto" w:sz="4" w:space="0"/>
            </w:tcBorders>
            <w:shd w:val="clear" w:color="auto" w:fill="FFFFFF"/>
            <w:noWrap w:val="0"/>
            <w:vAlign w:val="center"/>
          </w:tcPr>
          <w:p w14:paraId="3BC0F264">
            <w:pPr>
              <w:spacing w:line="300" w:lineRule="exact"/>
              <w:jc w:val="left"/>
              <w:rPr>
                <w:rFonts w:hint="default"/>
                <w:color w:val="000000"/>
                <w:kern w:val="0"/>
                <w:sz w:val="21"/>
                <w:szCs w:val="21"/>
                <w:lang w:bidi="en-US"/>
              </w:rPr>
            </w:pPr>
            <w:r>
              <w:rPr>
                <w:color w:val="000000"/>
                <w:kern w:val="0"/>
                <w:sz w:val="21"/>
                <w:szCs w:val="21"/>
                <w:lang w:bidi="en-US"/>
              </w:rPr>
              <w:t>量程：0.01-30.00mg/m</w:t>
            </w:r>
            <w:r>
              <w:rPr>
                <w:color w:val="000000"/>
                <w:kern w:val="0"/>
                <w:sz w:val="21"/>
                <w:szCs w:val="21"/>
                <w:vertAlign w:val="superscript"/>
                <w:lang w:bidi="en-US"/>
              </w:rPr>
              <w:t>3</w:t>
            </w:r>
            <w:r>
              <w:rPr>
                <w:color w:val="000000"/>
                <w:kern w:val="0"/>
                <w:sz w:val="21"/>
                <w:szCs w:val="21"/>
                <w:lang w:bidi="en-US"/>
              </w:rPr>
              <w:t>；测量误差：士25%；采样流量误差：＜±3.0%FS；采样流量稳定性：＜5.0%FS；采样时间误差：5min内小于±1.0s。</w:t>
            </w:r>
          </w:p>
        </w:tc>
        <w:tc>
          <w:tcPr>
            <w:tcW w:w="819" w:type="pct"/>
            <w:tcBorders>
              <w:top w:val="single" w:color="auto" w:sz="4" w:space="0"/>
              <w:left w:val="single" w:color="auto" w:sz="4" w:space="0"/>
              <w:right w:val="single" w:color="auto" w:sz="4" w:space="0"/>
            </w:tcBorders>
            <w:shd w:val="clear" w:color="auto" w:fill="FFFFFF"/>
            <w:noWrap w:val="0"/>
            <w:vAlign w:val="center"/>
          </w:tcPr>
          <w:p w14:paraId="793E54EE">
            <w:pPr>
              <w:spacing w:line="300" w:lineRule="exact"/>
              <w:jc w:val="left"/>
              <w:rPr>
                <w:rFonts w:hint="default"/>
                <w:color w:val="000000"/>
                <w:kern w:val="0"/>
                <w:sz w:val="21"/>
                <w:szCs w:val="21"/>
                <w:lang w:eastAsia="en-US" w:bidi="en-US"/>
              </w:rPr>
            </w:pPr>
            <w:r>
              <w:rPr>
                <w:color w:val="000000"/>
                <w:kern w:val="0"/>
                <w:sz w:val="21"/>
                <w:szCs w:val="21"/>
                <w:lang w:eastAsia="en-US" w:bidi="en-US"/>
              </w:rPr>
              <w:t>大气污染监测</w:t>
            </w:r>
          </w:p>
        </w:tc>
      </w:tr>
      <w:tr w14:paraId="0F86F159">
        <w:tblPrEx>
          <w:tblCellMar>
            <w:top w:w="0" w:type="dxa"/>
            <w:left w:w="10" w:type="dxa"/>
            <w:bottom w:w="0" w:type="dxa"/>
            <w:right w:w="10" w:type="dxa"/>
          </w:tblCellMar>
        </w:tblPrEx>
        <w:trPr>
          <w:trHeight w:val="1436" w:hRule="exact"/>
        </w:trPr>
        <w:tc>
          <w:tcPr>
            <w:tcW w:w="249" w:type="pct"/>
            <w:tcBorders>
              <w:top w:val="single" w:color="auto" w:sz="4" w:space="0"/>
              <w:left w:val="single" w:color="auto" w:sz="4" w:space="0"/>
              <w:bottom w:val="single" w:color="auto" w:sz="4" w:space="0"/>
            </w:tcBorders>
            <w:shd w:val="clear" w:color="auto" w:fill="FFFFFF"/>
            <w:noWrap w:val="0"/>
            <w:vAlign w:val="center"/>
          </w:tcPr>
          <w:p w14:paraId="5F8BFEBB">
            <w:pPr>
              <w:jc w:val="center"/>
              <w:rPr>
                <w:rFonts w:hint="default"/>
                <w:color w:val="000000"/>
                <w:kern w:val="0"/>
                <w:sz w:val="21"/>
                <w:szCs w:val="21"/>
                <w:lang w:eastAsia="en-US" w:bidi="en-US"/>
              </w:rPr>
            </w:pPr>
            <w:r>
              <w:rPr>
                <w:color w:val="000000"/>
                <w:kern w:val="0"/>
                <w:sz w:val="21"/>
                <w:szCs w:val="21"/>
                <w:lang w:eastAsia="en-US" w:bidi="en-US"/>
              </w:rPr>
              <w:t>15</w:t>
            </w:r>
          </w:p>
        </w:tc>
        <w:tc>
          <w:tcPr>
            <w:tcW w:w="826" w:type="pct"/>
            <w:tcBorders>
              <w:top w:val="single" w:color="auto" w:sz="4" w:space="0"/>
              <w:left w:val="single" w:color="auto" w:sz="4" w:space="0"/>
              <w:bottom w:val="single" w:color="auto" w:sz="4" w:space="0"/>
            </w:tcBorders>
            <w:shd w:val="clear" w:color="auto" w:fill="FFFFFF"/>
            <w:noWrap w:val="0"/>
            <w:vAlign w:val="center"/>
          </w:tcPr>
          <w:p w14:paraId="65855B01">
            <w:pPr>
              <w:spacing w:line="300" w:lineRule="exact"/>
              <w:jc w:val="center"/>
              <w:rPr>
                <w:rFonts w:hint="default"/>
                <w:color w:val="000000"/>
                <w:kern w:val="0"/>
                <w:sz w:val="21"/>
                <w:szCs w:val="21"/>
                <w:lang w:bidi="en-US"/>
              </w:rPr>
            </w:pPr>
            <w:r>
              <w:rPr>
                <w:color w:val="000000"/>
                <w:kern w:val="0"/>
                <w:sz w:val="21"/>
                <w:szCs w:val="21"/>
                <w:lang w:bidi="en-US"/>
              </w:rPr>
              <w:t>挥发性有机气体在线监测系统</w:t>
            </w:r>
          </w:p>
        </w:tc>
        <w:tc>
          <w:tcPr>
            <w:tcW w:w="3104" w:type="pct"/>
            <w:tcBorders>
              <w:top w:val="single" w:color="auto" w:sz="4" w:space="0"/>
              <w:left w:val="single" w:color="auto" w:sz="4" w:space="0"/>
              <w:bottom w:val="single" w:color="auto" w:sz="4" w:space="0"/>
            </w:tcBorders>
            <w:shd w:val="clear" w:color="auto" w:fill="FFFFFF"/>
            <w:noWrap w:val="0"/>
            <w:vAlign w:val="center"/>
          </w:tcPr>
          <w:p w14:paraId="53601C5A">
            <w:pPr>
              <w:spacing w:line="300" w:lineRule="exact"/>
              <w:jc w:val="left"/>
              <w:rPr>
                <w:rFonts w:hint="default"/>
                <w:color w:val="000000"/>
                <w:kern w:val="0"/>
                <w:sz w:val="21"/>
                <w:szCs w:val="21"/>
                <w:lang w:bidi="en-US"/>
              </w:rPr>
            </w:pPr>
            <w:r>
              <w:rPr>
                <w:color w:val="000000"/>
                <w:kern w:val="0"/>
                <w:sz w:val="21"/>
                <w:szCs w:val="21"/>
                <w:lang w:bidi="en-US"/>
              </w:rPr>
              <w:t>以非甲烷总烃为检测指标，示值误差不大于±10%，重复性＜3%，零点漂移不大于±5%，量程漂移±5%；以苯系物为指标，示值误差不大于±10%，重复性＜3%，零点漂移不大于±5%，量程漂移±5%。</w:t>
            </w:r>
          </w:p>
        </w:tc>
        <w:tc>
          <w:tcPr>
            <w:tcW w:w="819"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384A7CBC">
            <w:pPr>
              <w:spacing w:line="300" w:lineRule="exact"/>
              <w:jc w:val="left"/>
              <w:rPr>
                <w:rFonts w:hint="default"/>
                <w:color w:val="000000"/>
                <w:kern w:val="0"/>
                <w:sz w:val="21"/>
                <w:szCs w:val="21"/>
                <w:lang w:eastAsia="en-US" w:bidi="en-US"/>
              </w:rPr>
            </w:pPr>
            <w:r>
              <w:rPr>
                <w:color w:val="000000"/>
                <w:kern w:val="0"/>
                <w:sz w:val="21"/>
                <w:szCs w:val="21"/>
                <w:lang w:eastAsia="en-US" w:bidi="en-US"/>
              </w:rPr>
              <w:t>大气污染监测</w:t>
            </w:r>
          </w:p>
        </w:tc>
      </w:tr>
    </w:tbl>
    <w:p w14:paraId="05246772">
      <w:pPr>
        <w:bidi w:val="0"/>
      </w:pPr>
    </w:p>
    <w:p w14:paraId="1300C73D">
      <w:pPr>
        <w:spacing w:line="1" w:lineRule="exact"/>
        <w:jc w:val="left"/>
        <w:rPr>
          <w:rFonts w:hint="default" w:ascii="等线" w:hAnsi="等线" w:eastAsia="等线" w:cs="等线"/>
          <w:color w:val="000000"/>
          <w:kern w:val="0"/>
          <w:sz w:val="2"/>
          <w:szCs w:val="2"/>
          <w:lang w:eastAsia="en-US" w:bidi="en-US"/>
        </w:rPr>
      </w:pPr>
      <w:r>
        <w:rPr>
          <w:rFonts w:ascii="等线" w:hAnsi="等线" w:eastAsia="等线" w:cs="等线"/>
          <w:color w:val="000000"/>
          <w:kern w:val="0"/>
          <w:sz w:val="24"/>
          <w:lang w:eastAsia="en-US" w:bidi="en-US"/>
        </w:rPr>
        <w:br w:type="page"/>
      </w:r>
    </w:p>
    <w:p w14:paraId="28FD1386">
      <w:pPr>
        <w:spacing w:after="380"/>
        <w:ind w:firstLine="640" w:firstLineChars="200"/>
        <w:jc w:val="left"/>
        <w:rPr>
          <w:rFonts w:hint="default" w:ascii="楷体_GB2312" w:hAnsi="楷体_GB2312" w:eastAsia="楷体_GB2312" w:cs="楷体_GB2312"/>
          <w:b w:val="0"/>
          <w:bCs w:val="0"/>
          <w:color w:val="000000"/>
          <w:kern w:val="0"/>
          <w:sz w:val="32"/>
          <w:szCs w:val="48"/>
          <w:lang w:bidi="en-US"/>
        </w:rPr>
      </w:pPr>
      <w:bookmarkStart w:id="106" w:name="_Toc2848_WPSOffice_Level2"/>
      <w:r>
        <w:rPr>
          <w:rFonts w:ascii="楷体_GB2312" w:hAnsi="楷体_GB2312" w:eastAsia="楷体_GB2312" w:cs="楷体_GB2312"/>
          <w:b w:val="0"/>
          <w:bCs w:val="0"/>
          <w:color w:val="000000"/>
          <w:kern w:val="0"/>
          <w:sz w:val="32"/>
          <w:szCs w:val="48"/>
          <w:lang w:bidi="en-US"/>
        </w:rPr>
        <w:t>(二)大气污染防治设备</w:t>
      </w:r>
      <w:bookmarkEnd w:id="106"/>
    </w:p>
    <w:tbl>
      <w:tblPr>
        <w:tblStyle w:val="3"/>
        <w:tblW w:w="4998" w:type="pct"/>
        <w:jc w:val="center"/>
        <w:tblLayout w:type="autofit"/>
        <w:tblCellMar>
          <w:top w:w="0" w:type="dxa"/>
          <w:left w:w="10" w:type="dxa"/>
          <w:bottom w:w="0" w:type="dxa"/>
          <w:right w:w="10" w:type="dxa"/>
        </w:tblCellMar>
      </w:tblPr>
      <w:tblGrid>
        <w:gridCol w:w="423"/>
        <w:gridCol w:w="526"/>
        <w:gridCol w:w="866"/>
        <w:gridCol w:w="2216"/>
        <w:gridCol w:w="1908"/>
        <w:gridCol w:w="2383"/>
      </w:tblGrid>
      <w:tr w14:paraId="4EFFBE30">
        <w:tblPrEx>
          <w:tblCellMar>
            <w:top w:w="0" w:type="dxa"/>
            <w:left w:w="10" w:type="dxa"/>
            <w:bottom w:w="0" w:type="dxa"/>
            <w:right w:w="10" w:type="dxa"/>
          </w:tblCellMar>
        </w:tblPrEx>
        <w:trPr>
          <w:trHeight w:val="451" w:hRule="exact"/>
          <w:jc w:val="center"/>
        </w:trPr>
        <w:tc>
          <w:tcPr>
            <w:tcW w:w="255" w:type="pct"/>
            <w:tcBorders>
              <w:top w:val="single" w:color="auto" w:sz="4" w:space="0"/>
              <w:left w:val="single" w:color="auto" w:sz="4" w:space="0"/>
            </w:tcBorders>
            <w:shd w:val="clear" w:color="auto" w:fill="FFFFFF"/>
            <w:noWrap w:val="0"/>
            <w:vAlign w:val="center"/>
          </w:tcPr>
          <w:p w14:paraId="580BAD2E">
            <w:pPr>
              <w:jc w:val="center"/>
              <w:rPr>
                <w:rFonts w:hint="default"/>
                <w:color w:val="000000"/>
                <w:kern w:val="0"/>
                <w:sz w:val="21"/>
                <w:szCs w:val="21"/>
                <w:lang w:eastAsia="en-US" w:bidi="en-US"/>
              </w:rPr>
            </w:pPr>
            <w:r>
              <w:rPr>
                <w:b/>
                <w:bCs/>
                <w:color w:val="000000"/>
                <w:kern w:val="0"/>
                <w:sz w:val="21"/>
                <w:szCs w:val="21"/>
                <w:lang w:eastAsia="en-US" w:bidi="en-US"/>
              </w:rPr>
              <w:t>序号</w:t>
            </w:r>
          </w:p>
        </w:tc>
        <w:tc>
          <w:tcPr>
            <w:tcW w:w="833" w:type="pct"/>
            <w:gridSpan w:val="2"/>
            <w:tcBorders>
              <w:top w:val="single" w:color="auto" w:sz="4" w:space="0"/>
              <w:left w:val="single" w:color="auto" w:sz="4" w:space="0"/>
            </w:tcBorders>
            <w:shd w:val="clear" w:color="auto" w:fill="FFFFFF"/>
            <w:noWrap w:val="0"/>
            <w:vAlign w:val="center"/>
          </w:tcPr>
          <w:p w14:paraId="4DC9793B">
            <w:pPr>
              <w:jc w:val="center"/>
              <w:rPr>
                <w:rFonts w:hint="default"/>
                <w:color w:val="000000"/>
                <w:kern w:val="0"/>
                <w:sz w:val="21"/>
                <w:szCs w:val="21"/>
                <w:lang w:eastAsia="en-US" w:bidi="en-US"/>
              </w:rPr>
            </w:pPr>
            <w:r>
              <w:rPr>
                <w:b/>
                <w:bCs/>
                <w:color w:val="000000"/>
                <w:kern w:val="0"/>
                <w:sz w:val="21"/>
                <w:szCs w:val="21"/>
                <w:lang w:eastAsia="en-US" w:bidi="en-US"/>
              </w:rPr>
              <w:t>设备名称</w:t>
            </w:r>
          </w:p>
        </w:tc>
        <w:tc>
          <w:tcPr>
            <w:tcW w:w="1332" w:type="pct"/>
            <w:tcBorders>
              <w:top w:val="single" w:color="auto" w:sz="4" w:space="0"/>
              <w:left w:val="single" w:color="auto" w:sz="4" w:space="0"/>
            </w:tcBorders>
            <w:shd w:val="clear" w:color="auto" w:fill="FFFFFF"/>
            <w:noWrap w:val="0"/>
            <w:vAlign w:val="center"/>
          </w:tcPr>
          <w:p w14:paraId="328658F2">
            <w:pPr>
              <w:jc w:val="center"/>
              <w:rPr>
                <w:rFonts w:hint="default"/>
                <w:color w:val="000000"/>
                <w:kern w:val="0"/>
                <w:sz w:val="21"/>
                <w:szCs w:val="21"/>
                <w:lang w:eastAsia="en-US" w:bidi="en-US"/>
              </w:rPr>
            </w:pPr>
            <w:r>
              <w:rPr>
                <w:b/>
                <w:bCs/>
                <w:color w:val="000000"/>
                <w:kern w:val="0"/>
                <w:sz w:val="21"/>
                <w:szCs w:val="21"/>
                <w:lang w:eastAsia="en-US" w:bidi="en-US"/>
              </w:rPr>
              <w:t>关键设备</w:t>
            </w:r>
          </w:p>
        </w:tc>
        <w:tc>
          <w:tcPr>
            <w:tcW w:w="1147" w:type="pct"/>
            <w:tcBorders>
              <w:top w:val="single" w:color="auto" w:sz="4" w:space="0"/>
              <w:left w:val="single" w:color="auto" w:sz="4" w:space="0"/>
            </w:tcBorders>
            <w:shd w:val="clear" w:color="auto" w:fill="FFFFFF"/>
            <w:noWrap w:val="0"/>
            <w:vAlign w:val="center"/>
          </w:tcPr>
          <w:p w14:paraId="16201E85">
            <w:pPr>
              <w:jc w:val="center"/>
              <w:rPr>
                <w:rFonts w:hint="default"/>
                <w:color w:val="000000"/>
                <w:kern w:val="0"/>
                <w:sz w:val="21"/>
                <w:szCs w:val="21"/>
                <w:lang w:eastAsia="en-US" w:bidi="en-US"/>
              </w:rPr>
            </w:pPr>
            <w:r>
              <w:rPr>
                <w:b/>
                <w:bCs/>
                <w:color w:val="000000"/>
                <w:kern w:val="0"/>
                <w:sz w:val="21"/>
                <w:szCs w:val="21"/>
                <w:lang w:eastAsia="en-US" w:bidi="en-US"/>
              </w:rPr>
              <w:t>性能参数</w:t>
            </w:r>
          </w:p>
        </w:tc>
        <w:tc>
          <w:tcPr>
            <w:tcW w:w="1432" w:type="pct"/>
            <w:tcBorders>
              <w:top w:val="single" w:color="auto" w:sz="4" w:space="0"/>
              <w:left w:val="single" w:color="auto" w:sz="4" w:space="0"/>
              <w:right w:val="single" w:color="auto" w:sz="4" w:space="0"/>
            </w:tcBorders>
            <w:shd w:val="clear" w:color="auto" w:fill="FFFFFF"/>
            <w:noWrap w:val="0"/>
            <w:vAlign w:val="center"/>
          </w:tcPr>
          <w:p w14:paraId="307BDE1B">
            <w:pPr>
              <w:jc w:val="center"/>
              <w:rPr>
                <w:rFonts w:hint="default"/>
                <w:color w:val="000000"/>
                <w:kern w:val="0"/>
                <w:sz w:val="21"/>
                <w:szCs w:val="21"/>
                <w:lang w:eastAsia="en-US" w:bidi="en-US"/>
              </w:rPr>
            </w:pPr>
            <w:r>
              <w:rPr>
                <w:b/>
                <w:bCs/>
                <w:color w:val="000000"/>
                <w:kern w:val="0"/>
                <w:sz w:val="21"/>
                <w:szCs w:val="21"/>
                <w:lang w:eastAsia="en-US" w:bidi="en-US"/>
              </w:rPr>
              <w:t>应用领域</w:t>
            </w:r>
          </w:p>
        </w:tc>
      </w:tr>
      <w:tr w14:paraId="366168F1">
        <w:tblPrEx>
          <w:tblCellMar>
            <w:top w:w="0" w:type="dxa"/>
            <w:left w:w="10" w:type="dxa"/>
            <w:bottom w:w="0" w:type="dxa"/>
            <w:right w:w="10" w:type="dxa"/>
          </w:tblCellMar>
        </w:tblPrEx>
        <w:trPr>
          <w:trHeight w:val="2026" w:hRule="exact"/>
          <w:jc w:val="center"/>
        </w:trPr>
        <w:tc>
          <w:tcPr>
            <w:tcW w:w="255" w:type="pct"/>
            <w:tcBorders>
              <w:top w:val="single" w:color="auto" w:sz="4" w:space="0"/>
              <w:left w:val="single" w:color="auto" w:sz="4" w:space="0"/>
            </w:tcBorders>
            <w:shd w:val="clear" w:color="auto" w:fill="FFFFFF"/>
            <w:noWrap w:val="0"/>
            <w:vAlign w:val="center"/>
          </w:tcPr>
          <w:p w14:paraId="126BD49C">
            <w:pPr>
              <w:jc w:val="center"/>
              <w:rPr>
                <w:rFonts w:hint="default"/>
                <w:color w:val="000000"/>
                <w:kern w:val="0"/>
                <w:sz w:val="21"/>
                <w:szCs w:val="21"/>
                <w:lang w:eastAsia="en-US" w:bidi="en-US"/>
              </w:rPr>
            </w:pPr>
            <w:r>
              <w:rPr>
                <w:color w:val="000000"/>
                <w:kern w:val="0"/>
                <w:sz w:val="21"/>
                <w:szCs w:val="21"/>
                <w:lang w:eastAsia="en-US" w:bidi="en-US"/>
              </w:rPr>
              <w:t>1</w:t>
            </w:r>
          </w:p>
        </w:tc>
        <w:tc>
          <w:tcPr>
            <w:tcW w:w="317" w:type="pct"/>
            <w:vMerge w:val="restart"/>
            <w:tcBorders>
              <w:top w:val="single" w:color="auto" w:sz="4" w:space="0"/>
              <w:left w:val="single" w:color="auto" w:sz="4" w:space="0"/>
            </w:tcBorders>
            <w:shd w:val="clear" w:color="auto" w:fill="FFFFFF"/>
            <w:noWrap w:val="0"/>
            <w:vAlign w:val="center"/>
          </w:tcPr>
          <w:p w14:paraId="6ACA38CC">
            <w:pPr>
              <w:spacing w:after="40"/>
              <w:jc w:val="center"/>
              <w:rPr>
                <w:rFonts w:hint="default"/>
                <w:color w:val="000000"/>
                <w:kern w:val="0"/>
                <w:sz w:val="21"/>
                <w:szCs w:val="21"/>
                <w:lang w:eastAsia="en-US" w:bidi="en-US"/>
              </w:rPr>
            </w:pPr>
            <w:r>
              <w:rPr>
                <w:color w:val="000000"/>
                <w:kern w:val="0"/>
                <w:sz w:val="21"/>
                <w:szCs w:val="21"/>
                <w:lang w:eastAsia="en-US" w:bidi="en-US"/>
              </w:rPr>
              <w:t>脱硫</w:t>
            </w:r>
          </w:p>
          <w:p w14:paraId="716D58BC">
            <w:pPr>
              <w:jc w:val="center"/>
              <w:rPr>
                <w:rFonts w:hint="default"/>
                <w:color w:val="000000"/>
                <w:kern w:val="0"/>
                <w:sz w:val="21"/>
                <w:szCs w:val="21"/>
                <w:lang w:eastAsia="en-US" w:bidi="en-US"/>
              </w:rPr>
            </w:pPr>
            <w:r>
              <w:rPr>
                <w:color w:val="000000"/>
                <w:kern w:val="0"/>
                <w:sz w:val="21"/>
                <w:szCs w:val="21"/>
                <w:lang w:eastAsia="en-US" w:bidi="en-US"/>
              </w:rPr>
              <w:t>设备</w:t>
            </w:r>
          </w:p>
        </w:tc>
        <w:tc>
          <w:tcPr>
            <w:tcW w:w="516" w:type="pct"/>
            <w:tcBorders>
              <w:top w:val="single" w:color="auto" w:sz="4" w:space="0"/>
              <w:left w:val="single" w:color="auto" w:sz="4" w:space="0"/>
            </w:tcBorders>
            <w:shd w:val="clear" w:color="auto" w:fill="FFFFFF"/>
            <w:noWrap w:val="0"/>
            <w:vAlign w:val="center"/>
          </w:tcPr>
          <w:p w14:paraId="3019D660">
            <w:pPr>
              <w:spacing w:line="262" w:lineRule="exact"/>
              <w:jc w:val="center"/>
              <w:rPr>
                <w:rFonts w:hint="default"/>
                <w:color w:val="000000"/>
                <w:kern w:val="0"/>
                <w:sz w:val="21"/>
                <w:szCs w:val="21"/>
                <w:lang w:bidi="en-US"/>
              </w:rPr>
            </w:pPr>
            <w:r>
              <w:rPr>
                <w:color w:val="000000"/>
                <w:kern w:val="0"/>
                <w:sz w:val="21"/>
                <w:szCs w:val="21"/>
                <w:lang w:bidi="en-US"/>
              </w:rPr>
              <w:t>石灰石-石膏法脱硫成套设备</w:t>
            </w:r>
          </w:p>
        </w:tc>
        <w:tc>
          <w:tcPr>
            <w:tcW w:w="1332" w:type="pct"/>
            <w:tcBorders>
              <w:top w:val="single" w:color="auto" w:sz="4" w:space="0"/>
              <w:left w:val="single" w:color="auto" w:sz="4" w:space="0"/>
            </w:tcBorders>
            <w:shd w:val="clear" w:color="auto" w:fill="FFFFFF"/>
            <w:noWrap w:val="0"/>
            <w:vAlign w:val="center"/>
          </w:tcPr>
          <w:p w14:paraId="71766DEF">
            <w:pPr>
              <w:spacing w:line="271" w:lineRule="exact"/>
              <w:rPr>
                <w:rFonts w:hint="default"/>
                <w:color w:val="000000"/>
                <w:kern w:val="0"/>
                <w:sz w:val="21"/>
                <w:szCs w:val="21"/>
                <w:lang w:bidi="en-US"/>
              </w:rPr>
            </w:pPr>
            <w:r>
              <w:rPr>
                <w:color w:val="000000"/>
                <w:kern w:val="0"/>
                <w:sz w:val="21"/>
                <w:szCs w:val="21"/>
                <w:lang w:bidi="en-US"/>
              </w:rPr>
              <w:t>烟气挡板、增压风机、吸收塔（内含喷淋设备和浆液搅拌器）、除雾器、循环泵、氧化风机、吸收剂球磨设备、石膏旋流器、真空脱水皮带机、集散控制设备、石膏输送机等。</w:t>
            </w:r>
          </w:p>
        </w:tc>
        <w:tc>
          <w:tcPr>
            <w:tcW w:w="1147" w:type="pct"/>
            <w:tcBorders>
              <w:top w:val="single" w:color="auto" w:sz="4" w:space="0"/>
              <w:left w:val="single" w:color="auto" w:sz="4" w:space="0"/>
            </w:tcBorders>
            <w:shd w:val="clear" w:color="auto" w:fill="FFFFFF"/>
            <w:noWrap w:val="0"/>
            <w:vAlign w:val="center"/>
          </w:tcPr>
          <w:p w14:paraId="46E1062E">
            <w:pPr>
              <w:spacing w:line="272" w:lineRule="exact"/>
              <w:jc w:val="left"/>
              <w:rPr>
                <w:rFonts w:hint="default"/>
                <w:color w:val="000000"/>
                <w:kern w:val="0"/>
                <w:sz w:val="21"/>
                <w:szCs w:val="21"/>
                <w:lang w:bidi="en-US"/>
              </w:rPr>
            </w:pPr>
            <w:r>
              <w:rPr>
                <w:color w:val="000000"/>
                <w:kern w:val="0"/>
                <w:sz w:val="21"/>
                <w:szCs w:val="21"/>
                <w:lang w:bidi="en-US"/>
              </w:rPr>
              <w:t>脱硫效率＞97.5%，钙硫比＜1.03，脱硫装置电耗＜1.5%，石膏中CaSO</w:t>
            </w:r>
            <w:r>
              <w:rPr>
                <w:color w:val="000000"/>
                <w:kern w:val="0"/>
                <w:sz w:val="21"/>
                <w:szCs w:val="21"/>
                <w:vertAlign w:val="subscript"/>
                <w:lang w:bidi="en-US"/>
              </w:rPr>
              <w:t>4</w:t>
            </w:r>
            <w:r>
              <w:rPr>
                <w:color w:val="000000"/>
                <w:kern w:val="0"/>
                <w:sz w:val="21"/>
                <w:szCs w:val="21"/>
                <w:lang w:bidi="en-US"/>
              </w:rPr>
              <w:t>-2H</w:t>
            </w:r>
            <w:r>
              <w:rPr>
                <w:color w:val="000000"/>
                <w:kern w:val="0"/>
                <w:sz w:val="21"/>
                <w:szCs w:val="21"/>
                <w:vertAlign w:val="subscript"/>
                <w:lang w:bidi="en-US"/>
              </w:rPr>
              <w:t>2</w:t>
            </w:r>
            <w:r>
              <w:rPr>
                <w:color w:val="000000"/>
                <w:kern w:val="0"/>
                <w:sz w:val="21"/>
                <w:szCs w:val="21"/>
                <w:lang w:bidi="en-US"/>
              </w:rPr>
              <w:t>O含量＞90%、含水率＜10%。</w:t>
            </w:r>
          </w:p>
        </w:tc>
        <w:tc>
          <w:tcPr>
            <w:tcW w:w="1432" w:type="pct"/>
            <w:tcBorders>
              <w:top w:val="single" w:color="auto" w:sz="4" w:space="0"/>
              <w:left w:val="single" w:color="auto" w:sz="4" w:space="0"/>
              <w:right w:val="single" w:color="auto" w:sz="4" w:space="0"/>
            </w:tcBorders>
            <w:shd w:val="clear" w:color="auto" w:fill="FFFFFF"/>
            <w:noWrap w:val="0"/>
            <w:vAlign w:val="center"/>
          </w:tcPr>
          <w:p w14:paraId="22FF51DF">
            <w:pPr>
              <w:spacing w:line="283" w:lineRule="exact"/>
              <w:jc w:val="left"/>
              <w:rPr>
                <w:rFonts w:hint="default"/>
                <w:color w:val="000000"/>
                <w:kern w:val="0"/>
                <w:sz w:val="21"/>
                <w:szCs w:val="21"/>
                <w:lang w:bidi="en-US"/>
              </w:rPr>
            </w:pPr>
            <w:r>
              <w:rPr>
                <w:color w:val="000000"/>
                <w:kern w:val="0"/>
                <w:sz w:val="21"/>
                <w:szCs w:val="21"/>
                <w:lang w:bidi="en-US"/>
              </w:rPr>
              <w:t>适用于200MW及以上各种容量燃煤发电机组和烧结机等工业烟气脱硫。</w:t>
            </w:r>
          </w:p>
        </w:tc>
      </w:tr>
      <w:tr w14:paraId="3C44D1CC">
        <w:tblPrEx>
          <w:tblCellMar>
            <w:top w:w="0" w:type="dxa"/>
            <w:left w:w="10" w:type="dxa"/>
            <w:bottom w:w="0" w:type="dxa"/>
            <w:right w:w="10" w:type="dxa"/>
          </w:tblCellMar>
        </w:tblPrEx>
        <w:trPr>
          <w:trHeight w:val="1836" w:hRule="exact"/>
          <w:jc w:val="center"/>
        </w:trPr>
        <w:tc>
          <w:tcPr>
            <w:tcW w:w="255" w:type="pct"/>
            <w:tcBorders>
              <w:top w:val="single" w:color="auto" w:sz="4" w:space="0"/>
              <w:left w:val="single" w:color="auto" w:sz="4" w:space="0"/>
            </w:tcBorders>
            <w:shd w:val="clear" w:color="auto" w:fill="FFFFFF"/>
            <w:noWrap w:val="0"/>
            <w:vAlign w:val="center"/>
          </w:tcPr>
          <w:p w14:paraId="493DB0A7">
            <w:pPr>
              <w:jc w:val="center"/>
              <w:rPr>
                <w:rFonts w:hint="default"/>
                <w:color w:val="000000"/>
                <w:kern w:val="0"/>
                <w:sz w:val="21"/>
                <w:szCs w:val="21"/>
                <w:lang w:eastAsia="en-US" w:bidi="en-US"/>
              </w:rPr>
            </w:pPr>
            <w:r>
              <w:rPr>
                <w:color w:val="000000"/>
                <w:kern w:val="0"/>
                <w:sz w:val="21"/>
                <w:szCs w:val="21"/>
                <w:lang w:eastAsia="en-US" w:bidi="en-US"/>
              </w:rPr>
              <w:t>2</w:t>
            </w:r>
          </w:p>
        </w:tc>
        <w:tc>
          <w:tcPr>
            <w:tcW w:w="317" w:type="pct"/>
            <w:vMerge w:val="continue"/>
            <w:tcBorders>
              <w:left w:val="single" w:color="auto" w:sz="4" w:space="0"/>
            </w:tcBorders>
            <w:shd w:val="clear" w:color="auto" w:fill="FFFFFF"/>
            <w:noWrap w:val="0"/>
            <w:vAlign w:val="center"/>
          </w:tcPr>
          <w:p w14:paraId="7C3187EC">
            <w:pPr>
              <w:jc w:val="left"/>
              <w:rPr>
                <w:rFonts w:hint="default"/>
                <w:color w:val="000000"/>
                <w:kern w:val="0"/>
                <w:sz w:val="21"/>
                <w:szCs w:val="21"/>
                <w:lang w:eastAsia="en-US" w:bidi="en-US"/>
              </w:rPr>
            </w:pPr>
          </w:p>
        </w:tc>
        <w:tc>
          <w:tcPr>
            <w:tcW w:w="516" w:type="pct"/>
            <w:tcBorders>
              <w:top w:val="single" w:color="auto" w:sz="4" w:space="0"/>
              <w:left w:val="single" w:color="auto" w:sz="4" w:space="0"/>
            </w:tcBorders>
            <w:shd w:val="clear" w:color="auto" w:fill="FFFFFF"/>
            <w:noWrap w:val="0"/>
            <w:vAlign w:val="center"/>
          </w:tcPr>
          <w:p w14:paraId="546C82BD">
            <w:pPr>
              <w:spacing w:line="259" w:lineRule="exact"/>
              <w:jc w:val="center"/>
              <w:rPr>
                <w:rFonts w:hint="default"/>
                <w:color w:val="000000"/>
                <w:kern w:val="0"/>
                <w:sz w:val="21"/>
                <w:szCs w:val="21"/>
                <w:lang w:eastAsia="en-US" w:bidi="en-US"/>
              </w:rPr>
            </w:pPr>
            <w:r>
              <w:rPr>
                <w:color w:val="000000"/>
                <w:kern w:val="0"/>
                <w:sz w:val="21"/>
                <w:szCs w:val="21"/>
                <w:lang w:eastAsia="en-US" w:bidi="en-US"/>
              </w:rPr>
              <w:t>海水法脱硫成套设备</w:t>
            </w:r>
          </w:p>
        </w:tc>
        <w:tc>
          <w:tcPr>
            <w:tcW w:w="1332" w:type="pct"/>
            <w:tcBorders>
              <w:top w:val="single" w:color="auto" w:sz="4" w:space="0"/>
              <w:left w:val="single" w:color="auto" w:sz="4" w:space="0"/>
            </w:tcBorders>
            <w:shd w:val="clear" w:color="auto" w:fill="FFFFFF"/>
            <w:noWrap w:val="0"/>
            <w:vAlign w:val="center"/>
          </w:tcPr>
          <w:p w14:paraId="63D508ED">
            <w:pPr>
              <w:rPr>
                <w:rFonts w:hint="default"/>
                <w:color w:val="000000"/>
                <w:kern w:val="0"/>
                <w:sz w:val="21"/>
                <w:szCs w:val="21"/>
                <w:lang w:bidi="en-US"/>
              </w:rPr>
            </w:pPr>
            <w:r>
              <w:rPr>
                <w:color w:val="000000"/>
                <w:kern w:val="0"/>
                <w:sz w:val="21"/>
                <w:szCs w:val="21"/>
                <w:lang w:bidi="en-US"/>
              </w:rPr>
              <w:t>烟气挡板、增压风机、气气热交换器（GGH）、吸收塔、海水增压泵、曝气风机和集散控制设备等。</w:t>
            </w:r>
          </w:p>
        </w:tc>
        <w:tc>
          <w:tcPr>
            <w:tcW w:w="1147" w:type="pct"/>
            <w:tcBorders>
              <w:top w:val="single" w:color="auto" w:sz="4" w:space="0"/>
              <w:left w:val="single" w:color="auto" w:sz="4" w:space="0"/>
            </w:tcBorders>
            <w:shd w:val="clear" w:color="auto" w:fill="FFFFFF"/>
            <w:noWrap w:val="0"/>
            <w:vAlign w:val="center"/>
          </w:tcPr>
          <w:p w14:paraId="0685CDE1">
            <w:pPr>
              <w:spacing w:line="274" w:lineRule="exact"/>
              <w:jc w:val="left"/>
              <w:rPr>
                <w:rFonts w:hint="default"/>
                <w:color w:val="000000"/>
                <w:kern w:val="0"/>
                <w:sz w:val="21"/>
                <w:szCs w:val="21"/>
                <w:lang w:bidi="en-US"/>
              </w:rPr>
            </w:pPr>
            <w:r>
              <w:rPr>
                <w:color w:val="000000"/>
                <w:kern w:val="0"/>
                <w:sz w:val="21"/>
                <w:szCs w:val="21"/>
                <w:lang w:bidi="en-US"/>
              </w:rPr>
              <w:t>脱硫效率＞95%，脱硫海水混合曝气后pH＞6.8。</w:t>
            </w:r>
          </w:p>
        </w:tc>
        <w:tc>
          <w:tcPr>
            <w:tcW w:w="1432" w:type="pct"/>
            <w:tcBorders>
              <w:top w:val="single" w:color="auto" w:sz="4" w:space="0"/>
              <w:left w:val="single" w:color="auto" w:sz="4" w:space="0"/>
              <w:right w:val="single" w:color="auto" w:sz="4" w:space="0"/>
            </w:tcBorders>
            <w:shd w:val="clear" w:color="auto" w:fill="FFFFFF"/>
            <w:noWrap w:val="0"/>
            <w:vAlign w:val="center"/>
          </w:tcPr>
          <w:p w14:paraId="7725856C">
            <w:pPr>
              <w:spacing w:line="266" w:lineRule="exact"/>
              <w:jc w:val="left"/>
              <w:rPr>
                <w:rFonts w:hint="default"/>
                <w:color w:val="000000"/>
                <w:kern w:val="0"/>
                <w:sz w:val="21"/>
                <w:szCs w:val="21"/>
                <w:lang w:bidi="en-US"/>
              </w:rPr>
            </w:pPr>
            <w:r>
              <w:rPr>
                <w:color w:val="000000"/>
                <w:kern w:val="0"/>
                <w:sz w:val="21"/>
                <w:szCs w:val="21"/>
                <w:lang w:bidi="en-US"/>
              </w:rPr>
              <w:t>适用于我国东、南部沿海海水扩散条件良好的地区，燃用含硫量小于1%的煤种及200MW及以上新建燃煤发电机组。</w:t>
            </w:r>
          </w:p>
        </w:tc>
      </w:tr>
      <w:tr w14:paraId="75E1E62E">
        <w:tblPrEx>
          <w:tblCellMar>
            <w:top w:w="0" w:type="dxa"/>
            <w:left w:w="10" w:type="dxa"/>
            <w:bottom w:w="0" w:type="dxa"/>
            <w:right w:w="10" w:type="dxa"/>
          </w:tblCellMar>
        </w:tblPrEx>
        <w:trPr>
          <w:trHeight w:val="1975" w:hRule="exact"/>
          <w:jc w:val="center"/>
        </w:trPr>
        <w:tc>
          <w:tcPr>
            <w:tcW w:w="255" w:type="pct"/>
            <w:tcBorders>
              <w:top w:val="single" w:color="auto" w:sz="4" w:space="0"/>
              <w:left w:val="single" w:color="auto" w:sz="4" w:space="0"/>
            </w:tcBorders>
            <w:shd w:val="clear" w:color="auto" w:fill="FFFFFF"/>
            <w:noWrap w:val="0"/>
            <w:vAlign w:val="center"/>
          </w:tcPr>
          <w:p w14:paraId="7B387F08">
            <w:pPr>
              <w:jc w:val="center"/>
              <w:rPr>
                <w:rFonts w:hint="default"/>
                <w:color w:val="000000"/>
                <w:kern w:val="0"/>
                <w:sz w:val="21"/>
                <w:szCs w:val="21"/>
                <w:lang w:eastAsia="en-US" w:bidi="en-US"/>
              </w:rPr>
            </w:pPr>
            <w:r>
              <w:rPr>
                <w:color w:val="000000"/>
                <w:kern w:val="0"/>
                <w:sz w:val="21"/>
                <w:szCs w:val="21"/>
                <w:lang w:eastAsia="en-US" w:bidi="en-US"/>
              </w:rPr>
              <w:t>3</w:t>
            </w:r>
          </w:p>
        </w:tc>
        <w:tc>
          <w:tcPr>
            <w:tcW w:w="317" w:type="pct"/>
            <w:vMerge w:val="continue"/>
            <w:tcBorders>
              <w:left w:val="single" w:color="auto" w:sz="4" w:space="0"/>
            </w:tcBorders>
            <w:shd w:val="clear" w:color="auto" w:fill="FFFFFF"/>
            <w:noWrap w:val="0"/>
            <w:vAlign w:val="center"/>
          </w:tcPr>
          <w:p w14:paraId="2F960EC0">
            <w:pPr>
              <w:jc w:val="left"/>
              <w:rPr>
                <w:rFonts w:hint="default"/>
                <w:color w:val="000000"/>
                <w:kern w:val="0"/>
                <w:sz w:val="21"/>
                <w:szCs w:val="21"/>
                <w:lang w:eastAsia="en-US" w:bidi="en-US"/>
              </w:rPr>
            </w:pPr>
          </w:p>
        </w:tc>
        <w:tc>
          <w:tcPr>
            <w:tcW w:w="516" w:type="pct"/>
            <w:tcBorders>
              <w:top w:val="single" w:color="auto" w:sz="4" w:space="0"/>
              <w:left w:val="single" w:color="auto" w:sz="4" w:space="0"/>
            </w:tcBorders>
            <w:shd w:val="clear" w:color="auto" w:fill="FFFFFF"/>
            <w:noWrap w:val="0"/>
            <w:vAlign w:val="center"/>
          </w:tcPr>
          <w:p w14:paraId="1B2E5433">
            <w:pPr>
              <w:spacing w:line="264" w:lineRule="exact"/>
              <w:jc w:val="center"/>
              <w:rPr>
                <w:rFonts w:hint="default"/>
                <w:color w:val="000000"/>
                <w:kern w:val="0"/>
                <w:sz w:val="21"/>
                <w:szCs w:val="21"/>
                <w:lang w:eastAsia="en-US" w:bidi="en-US"/>
              </w:rPr>
            </w:pPr>
            <w:r>
              <w:rPr>
                <w:color w:val="000000"/>
                <w:kern w:val="0"/>
                <w:sz w:val="21"/>
                <w:szCs w:val="21"/>
                <w:lang w:eastAsia="en-US" w:bidi="en-US"/>
              </w:rPr>
              <w:t>氨法脱硫成套设备</w:t>
            </w:r>
          </w:p>
        </w:tc>
        <w:tc>
          <w:tcPr>
            <w:tcW w:w="1332" w:type="pct"/>
            <w:tcBorders>
              <w:top w:val="single" w:color="auto" w:sz="4" w:space="0"/>
              <w:left w:val="single" w:color="auto" w:sz="4" w:space="0"/>
            </w:tcBorders>
            <w:shd w:val="clear" w:color="auto" w:fill="FFFFFF"/>
            <w:noWrap w:val="0"/>
            <w:vAlign w:val="center"/>
          </w:tcPr>
          <w:p w14:paraId="42DF5FC7">
            <w:pPr>
              <w:spacing w:line="270" w:lineRule="exact"/>
              <w:rPr>
                <w:rFonts w:hint="default"/>
                <w:color w:val="000000"/>
                <w:kern w:val="0"/>
                <w:sz w:val="21"/>
                <w:szCs w:val="21"/>
                <w:lang w:bidi="en-US"/>
              </w:rPr>
            </w:pPr>
            <w:r>
              <w:rPr>
                <w:color w:val="000000"/>
                <w:kern w:val="0"/>
                <w:sz w:val="21"/>
                <w:szCs w:val="21"/>
                <w:lang w:bidi="en-US"/>
              </w:rPr>
              <w:t>脱硫塔、氨罐、循环槽、结晶槽、料液槽、增压风机、氧化风机、结晶泵、料液泵、喷雾泵、旋液分离器、离心机、干燥机、离心过滤机和集散控制设备等。</w:t>
            </w:r>
          </w:p>
        </w:tc>
        <w:tc>
          <w:tcPr>
            <w:tcW w:w="1147" w:type="pct"/>
            <w:tcBorders>
              <w:top w:val="single" w:color="auto" w:sz="4" w:space="0"/>
              <w:left w:val="single" w:color="auto" w:sz="4" w:space="0"/>
            </w:tcBorders>
            <w:shd w:val="clear" w:color="auto" w:fill="FFFFFF"/>
            <w:noWrap w:val="0"/>
            <w:vAlign w:val="center"/>
          </w:tcPr>
          <w:p w14:paraId="4C6783BC">
            <w:pPr>
              <w:spacing w:line="269" w:lineRule="exact"/>
              <w:jc w:val="left"/>
              <w:rPr>
                <w:rFonts w:hint="default"/>
                <w:color w:val="000000"/>
                <w:kern w:val="0"/>
                <w:sz w:val="21"/>
                <w:szCs w:val="21"/>
                <w:lang w:bidi="en-US"/>
              </w:rPr>
            </w:pPr>
            <w:r>
              <w:rPr>
                <w:color w:val="000000"/>
                <w:kern w:val="0"/>
                <w:sz w:val="21"/>
                <w:szCs w:val="21"/>
                <w:lang w:bidi="en-US"/>
              </w:rPr>
              <w:t>脱硫效率＞97.5%，氨逃逸浓度低于10mg/Nm</w:t>
            </w:r>
            <w:r>
              <w:rPr>
                <w:color w:val="000000"/>
                <w:kern w:val="0"/>
                <w:sz w:val="21"/>
                <w:szCs w:val="21"/>
                <w:vertAlign w:val="superscript"/>
                <w:lang w:bidi="en-US"/>
              </w:rPr>
              <w:t>3</w:t>
            </w:r>
            <w:r>
              <w:rPr>
                <w:color w:val="000000"/>
                <w:kern w:val="0"/>
                <w:sz w:val="21"/>
                <w:szCs w:val="21"/>
                <w:lang w:bidi="en-US"/>
              </w:rPr>
              <w:t>。</w:t>
            </w:r>
          </w:p>
        </w:tc>
        <w:tc>
          <w:tcPr>
            <w:tcW w:w="1432" w:type="pct"/>
            <w:tcBorders>
              <w:top w:val="single" w:color="auto" w:sz="4" w:space="0"/>
              <w:left w:val="single" w:color="auto" w:sz="4" w:space="0"/>
              <w:right w:val="single" w:color="auto" w:sz="4" w:space="0"/>
            </w:tcBorders>
            <w:shd w:val="clear" w:color="auto" w:fill="FFFFFF"/>
            <w:noWrap w:val="0"/>
            <w:vAlign w:val="center"/>
          </w:tcPr>
          <w:p w14:paraId="02D94AA5">
            <w:pPr>
              <w:spacing w:line="275" w:lineRule="exact"/>
              <w:jc w:val="left"/>
              <w:rPr>
                <w:rFonts w:hint="default"/>
                <w:color w:val="000000"/>
                <w:kern w:val="0"/>
                <w:sz w:val="21"/>
                <w:szCs w:val="21"/>
                <w:lang w:bidi="en-US"/>
              </w:rPr>
            </w:pPr>
            <w:r>
              <w:rPr>
                <w:color w:val="000000"/>
                <w:kern w:val="0"/>
                <w:sz w:val="21"/>
                <w:szCs w:val="21"/>
                <w:lang w:bidi="en-US"/>
              </w:rPr>
              <w:t>适用于有稳定氨资源地区300MW及以下燃煤发电机组和烧结机、工业锅炉窑炉等烟气脱硫。也适用于石油炼制行业催化裂化装置的烟气脱硫。</w:t>
            </w:r>
          </w:p>
        </w:tc>
      </w:tr>
      <w:tr w14:paraId="64E13BF6">
        <w:tblPrEx>
          <w:tblCellMar>
            <w:top w:w="0" w:type="dxa"/>
            <w:left w:w="10" w:type="dxa"/>
            <w:bottom w:w="0" w:type="dxa"/>
            <w:right w:w="10" w:type="dxa"/>
          </w:tblCellMar>
        </w:tblPrEx>
        <w:trPr>
          <w:trHeight w:val="2739" w:hRule="exact"/>
          <w:jc w:val="center"/>
        </w:trPr>
        <w:tc>
          <w:tcPr>
            <w:tcW w:w="255" w:type="pct"/>
            <w:tcBorders>
              <w:top w:val="single" w:color="auto" w:sz="4" w:space="0"/>
              <w:left w:val="single" w:color="auto" w:sz="4" w:space="0"/>
            </w:tcBorders>
            <w:shd w:val="clear" w:color="auto" w:fill="FFFFFF"/>
            <w:noWrap w:val="0"/>
            <w:vAlign w:val="center"/>
          </w:tcPr>
          <w:p w14:paraId="1F8D3495">
            <w:pPr>
              <w:jc w:val="center"/>
              <w:rPr>
                <w:rFonts w:hint="default"/>
                <w:color w:val="000000"/>
                <w:kern w:val="0"/>
                <w:sz w:val="21"/>
                <w:szCs w:val="21"/>
                <w:lang w:eastAsia="en-US" w:bidi="en-US"/>
              </w:rPr>
            </w:pPr>
            <w:r>
              <w:rPr>
                <w:color w:val="000000"/>
                <w:kern w:val="0"/>
                <w:sz w:val="21"/>
                <w:szCs w:val="21"/>
                <w:lang w:eastAsia="en-US" w:bidi="en-US"/>
              </w:rPr>
              <w:t>4</w:t>
            </w:r>
          </w:p>
        </w:tc>
        <w:tc>
          <w:tcPr>
            <w:tcW w:w="317" w:type="pct"/>
            <w:vMerge w:val="continue"/>
            <w:tcBorders>
              <w:left w:val="single" w:color="auto" w:sz="4" w:space="0"/>
            </w:tcBorders>
            <w:shd w:val="clear" w:color="auto" w:fill="FFFFFF"/>
            <w:noWrap w:val="0"/>
            <w:vAlign w:val="center"/>
          </w:tcPr>
          <w:p w14:paraId="5841AF29">
            <w:pPr>
              <w:jc w:val="left"/>
              <w:rPr>
                <w:rFonts w:hint="default"/>
                <w:color w:val="000000"/>
                <w:kern w:val="0"/>
                <w:sz w:val="21"/>
                <w:szCs w:val="21"/>
                <w:lang w:eastAsia="en-US" w:bidi="en-US"/>
              </w:rPr>
            </w:pPr>
          </w:p>
        </w:tc>
        <w:tc>
          <w:tcPr>
            <w:tcW w:w="516" w:type="pct"/>
            <w:tcBorders>
              <w:top w:val="single" w:color="auto" w:sz="4" w:space="0"/>
              <w:left w:val="single" w:color="auto" w:sz="4" w:space="0"/>
            </w:tcBorders>
            <w:shd w:val="clear" w:color="auto" w:fill="FFFFFF"/>
            <w:noWrap w:val="0"/>
            <w:vAlign w:val="center"/>
          </w:tcPr>
          <w:p w14:paraId="5F9E8ED6">
            <w:pPr>
              <w:spacing w:line="259" w:lineRule="exact"/>
              <w:jc w:val="left"/>
              <w:rPr>
                <w:rFonts w:hint="default"/>
                <w:color w:val="000000"/>
                <w:kern w:val="0"/>
                <w:sz w:val="21"/>
                <w:szCs w:val="21"/>
                <w:lang w:bidi="en-US"/>
              </w:rPr>
            </w:pPr>
            <w:r>
              <w:rPr>
                <w:color w:val="000000"/>
                <w:kern w:val="0"/>
                <w:sz w:val="21"/>
                <w:szCs w:val="21"/>
                <w:lang w:bidi="en-US"/>
              </w:rPr>
              <w:t>循环流化床法脱硫成套设备</w:t>
            </w:r>
          </w:p>
        </w:tc>
        <w:tc>
          <w:tcPr>
            <w:tcW w:w="1332" w:type="pct"/>
            <w:tcBorders>
              <w:top w:val="single" w:color="auto" w:sz="4" w:space="0"/>
              <w:left w:val="single" w:color="auto" w:sz="4" w:space="0"/>
            </w:tcBorders>
            <w:shd w:val="clear" w:color="auto" w:fill="FFFFFF"/>
            <w:noWrap w:val="0"/>
            <w:vAlign w:val="center"/>
          </w:tcPr>
          <w:p w14:paraId="5BDA3244">
            <w:pPr>
              <w:spacing w:line="272" w:lineRule="exact"/>
              <w:rPr>
                <w:rFonts w:hint="default"/>
                <w:color w:val="000000"/>
                <w:kern w:val="0"/>
                <w:sz w:val="21"/>
                <w:szCs w:val="21"/>
                <w:lang w:bidi="en-US"/>
              </w:rPr>
            </w:pPr>
            <w:r>
              <w:rPr>
                <w:color w:val="000000"/>
                <w:kern w:val="0"/>
                <w:sz w:val="21"/>
                <w:szCs w:val="21"/>
                <w:lang w:bidi="en-US"/>
              </w:rPr>
              <w:t>生石灰消化器、烟气挡板、引风机、吸收塔（包含喷嘴等设备）、密封风机、灰斗、再循环斜槽、除湿机、塔底灰输送风机、仓泵、给料机、皮带称重机、空气压缩机、干燥机、水泵、冷冻干燥器和集散控制设备等。</w:t>
            </w:r>
          </w:p>
        </w:tc>
        <w:tc>
          <w:tcPr>
            <w:tcW w:w="1147" w:type="pct"/>
            <w:tcBorders>
              <w:top w:val="single" w:color="auto" w:sz="4" w:space="0"/>
              <w:left w:val="single" w:color="auto" w:sz="4" w:space="0"/>
            </w:tcBorders>
            <w:shd w:val="clear" w:color="auto" w:fill="FFFFFF"/>
            <w:noWrap w:val="0"/>
            <w:vAlign w:val="center"/>
          </w:tcPr>
          <w:p w14:paraId="5BC630C3">
            <w:pPr>
              <w:spacing w:line="278" w:lineRule="exact"/>
              <w:jc w:val="left"/>
              <w:rPr>
                <w:rFonts w:hint="default"/>
                <w:color w:val="000000"/>
                <w:kern w:val="0"/>
                <w:sz w:val="21"/>
                <w:szCs w:val="21"/>
                <w:lang w:bidi="en-US"/>
              </w:rPr>
            </w:pPr>
            <w:r>
              <w:rPr>
                <w:color w:val="000000"/>
                <w:kern w:val="0"/>
                <w:sz w:val="21"/>
                <w:szCs w:val="21"/>
                <w:lang w:bidi="en-US"/>
              </w:rPr>
              <w:t>脱硫效率＞90%，钙硫比＜1.2，脱硫塔阻力＜1500Pa。</w:t>
            </w:r>
          </w:p>
        </w:tc>
        <w:tc>
          <w:tcPr>
            <w:tcW w:w="1432" w:type="pct"/>
            <w:tcBorders>
              <w:top w:val="single" w:color="auto" w:sz="4" w:space="0"/>
              <w:left w:val="single" w:color="auto" w:sz="4" w:space="0"/>
              <w:right w:val="single" w:color="auto" w:sz="4" w:space="0"/>
            </w:tcBorders>
            <w:shd w:val="clear" w:color="auto" w:fill="FFFFFF"/>
            <w:noWrap w:val="0"/>
            <w:vAlign w:val="center"/>
          </w:tcPr>
          <w:p w14:paraId="56594936">
            <w:pPr>
              <w:spacing w:line="278" w:lineRule="exact"/>
              <w:jc w:val="left"/>
              <w:rPr>
                <w:rFonts w:hint="default"/>
                <w:color w:val="000000"/>
                <w:kern w:val="0"/>
                <w:sz w:val="21"/>
                <w:szCs w:val="21"/>
                <w:lang w:bidi="en-US"/>
              </w:rPr>
            </w:pPr>
            <w:r>
              <w:rPr>
                <w:color w:val="000000"/>
                <w:kern w:val="0"/>
                <w:sz w:val="21"/>
                <w:szCs w:val="21"/>
                <w:lang w:bidi="en-US"/>
              </w:rPr>
              <w:t>适用于干旱缺水地区600MW及以下燃煤发电机组和烧结机等工业烟气脱硫。</w:t>
            </w:r>
          </w:p>
        </w:tc>
      </w:tr>
      <w:tr w14:paraId="76B78E2A">
        <w:tblPrEx>
          <w:tblCellMar>
            <w:top w:w="0" w:type="dxa"/>
            <w:left w:w="10" w:type="dxa"/>
            <w:bottom w:w="0" w:type="dxa"/>
            <w:right w:w="10" w:type="dxa"/>
          </w:tblCellMar>
        </w:tblPrEx>
        <w:trPr>
          <w:trHeight w:val="1999" w:hRule="exact"/>
          <w:jc w:val="center"/>
        </w:trPr>
        <w:tc>
          <w:tcPr>
            <w:tcW w:w="255" w:type="pct"/>
            <w:tcBorders>
              <w:top w:val="single" w:color="auto" w:sz="4" w:space="0"/>
              <w:left w:val="single" w:color="auto" w:sz="4" w:space="0"/>
              <w:bottom w:val="single" w:color="auto" w:sz="4" w:space="0"/>
            </w:tcBorders>
            <w:shd w:val="clear" w:color="auto" w:fill="FFFFFF"/>
            <w:noWrap w:val="0"/>
            <w:vAlign w:val="center"/>
          </w:tcPr>
          <w:p w14:paraId="75E3FD23">
            <w:pPr>
              <w:jc w:val="center"/>
              <w:rPr>
                <w:rFonts w:hint="default"/>
                <w:color w:val="000000"/>
                <w:kern w:val="0"/>
                <w:sz w:val="21"/>
                <w:szCs w:val="21"/>
                <w:lang w:eastAsia="en-US" w:bidi="en-US"/>
              </w:rPr>
            </w:pPr>
            <w:r>
              <w:rPr>
                <w:color w:val="000000"/>
                <w:kern w:val="0"/>
                <w:sz w:val="21"/>
                <w:szCs w:val="21"/>
                <w:lang w:eastAsia="en-US" w:bidi="en-US"/>
              </w:rPr>
              <w:t>5</w:t>
            </w:r>
          </w:p>
        </w:tc>
        <w:tc>
          <w:tcPr>
            <w:tcW w:w="317" w:type="pct"/>
            <w:tcBorders>
              <w:top w:val="single" w:color="auto" w:sz="4" w:space="0"/>
              <w:left w:val="single" w:color="auto" w:sz="4" w:space="0"/>
              <w:bottom w:val="single" w:color="auto" w:sz="4" w:space="0"/>
            </w:tcBorders>
            <w:shd w:val="clear" w:color="auto" w:fill="FFFFFF"/>
            <w:noWrap w:val="0"/>
            <w:vAlign w:val="center"/>
          </w:tcPr>
          <w:p w14:paraId="1314D498">
            <w:pPr>
              <w:spacing w:after="40"/>
              <w:jc w:val="center"/>
              <w:rPr>
                <w:rFonts w:hint="default"/>
                <w:color w:val="000000"/>
                <w:kern w:val="0"/>
                <w:sz w:val="21"/>
                <w:szCs w:val="21"/>
                <w:lang w:eastAsia="en-US" w:bidi="en-US"/>
              </w:rPr>
            </w:pPr>
            <w:r>
              <w:rPr>
                <w:color w:val="000000"/>
                <w:kern w:val="0"/>
                <w:sz w:val="21"/>
                <w:szCs w:val="21"/>
                <w:lang w:eastAsia="en-US" w:bidi="en-US"/>
              </w:rPr>
              <w:t>脱硝</w:t>
            </w:r>
          </w:p>
          <w:p w14:paraId="043C9CF0">
            <w:pPr>
              <w:jc w:val="center"/>
              <w:rPr>
                <w:rFonts w:hint="default"/>
                <w:color w:val="000000"/>
                <w:kern w:val="0"/>
                <w:sz w:val="21"/>
                <w:szCs w:val="21"/>
                <w:lang w:eastAsia="en-US" w:bidi="en-US"/>
              </w:rPr>
            </w:pPr>
            <w:r>
              <w:rPr>
                <w:color w:val="000000"/>
                <w:kern w:val="0"/>
                <w:sz w:val="21"/>
                <w:szCs w:val="21"/>
                <w:lang w:eastAsia="en-US" w:bidi="en-US"/>
              </w:rPr>
              <w:t>设备</w:t>
            </w:r>
          </w:p>
        </w:tc>
        <w:tc>
          <w:tcPr>
            <w:tcW w:w="516" w:type="pct"/>
            <w:tcBorders>
              <w:top w:val="single" w:color="auto" w:sz="4" w:space="0"/>
              <w:left w:val="single" w:color="auto" w:sz="4" w:space="0"/>
              <w:bottom w:val="single" w:color="auto" w:sz="4" w:space="0"/>
            </w:tcBorders>
            <w:shd w:val="clear" w:color="auto" w:fill="FFFFFF"/>
            <w:noWrap w:val="0"/>
            <w:vAlign w:val="center"/>
          </w:tcPr>
          <w:p w14:paraId="0AD9409C">
            <w:pPr>
              <w:spacing w:line="269" w:lineRule="exact"/>
              <w:jc w:val="center"/>
              <w:rPr>
                <w:rFonts w:hint="default"/>
                <w:color w:val="000000"/>
                <w:kern w:val="0"/>
                <w:sz w:val="21"/>
                <w:szCs w:val="21"/>
                <w:lang w:bidi="en-US"/>
              </w:rPr>
            </w:pPr>
            <w:r>
              <w:rPr>
                <w:color w:val="000000"/>
                <w:kern w:val="0"/>
                <w:sz w:val="21"/>
                <w:szCs w:val="21"/>
                <w:lang w:bidi="en-US"/>
              </w:rPr>
              <w:t>选择性催化还原（SCR）脱硝成套设备</w:t>
            </w:r>
          </w:p>
        </w:tc>
        <w:tc>
          <w:tcPr>
            <w:tcW w:w="1332" w:type="pct"/>
            <w:tcBorders>
              <w:top w:val="single" w:color="auto" w:sz="4" w:space="0"/>
              <w:left w:val="single" w:color="auto" w:sz="4" w:space="0"/>
              <w:bottom w:val="single" w:color="auto" w:sz="4" w:space="0"/>
            </w:tcBorders>
            <w:shd w:val="clear" w:color="auto" w:fill="FFFFFF"/>
            <w:noWrap w:val="0"/>
            <w:vAlign w:val="center"/>
          </w:tcPr>
          <w:p w14:paraId="1CCC915A">
            <w:pPr>
              <w:spacing w:line="275" w:lineRule="exact"/>
              <w:rPr>
                <w:rFonts w:hint="default"/>
                <w:color w:val="000000"/>
                <w:kern w:val="0"/>
                <w:sz w:val="21"/>
                <w:szCs w:val="21"/>
                <w:lang w:bidi="en-US"/>
              </w:rPr>
            </w:pPr>
            <w:r>
              <w:rPr>
                <w:color w:val="000000"/>
                <w:kern w:val="0"/>
                <w:sz w:val="21"/>
                <w:szCs w:val="21"/>
                <w:lang w:bidi="en-US"/>
              </w:rPr>
              <w:t>SCR反应器、压缩空气储罐、储氨罐、卸料压缩机、液氨蒸发器、水喷淋降温装置、氨喷射格栅、喷嘴、稀释风机、引风机、空气压缩机和集散控制设备等。</w:t>
            </w:r>
          </w:p>
        </w:tc>
        <w:tc>
          <w:tcPr>
            <w:tcW w:w="1147" w:type="pct"/>
            <w:tcBorders>
              <w:top w:val="single" w:color="auto" w:sz="4" w:space="0"/>
              <w:left w:val="single" w:color="auto" w:sz="4" w:space="0"/>
              <w:bottom w:val="single" w:color="auto" w:sz="4" w:space="0"/>
            </w:tcBorders>
            <w:shd w:val="clear" w:color="auto" w:fill="FFFFFF"/>
            <w:noWrap w:val="0"/>
            <w:vAlign w:val="center"/>
          </w:tcPr>
          <w:p w14:paraId="4093404E">
            <w:pPr>
              <w:spacing w:line="274" w:lineRule="exact"/>
              <w:jc w:val="left"/>
              <w:rPr>
                <w:rFonts w:hint="default"/>
                <w:color w:val="000000"/>
                <w:kern w:val="0"/>
                <w:sz w:val="21"/>
                <w:szCs w:val="21"/>
                <w:lang w:bidi="en-US"/>
              </w:rPr>
            </w:pPr>
            <w:r>
              <w:rPr>
                <w:color w:val="000000"/>
                <w:kern w:val="0"/>
                <w:sz w:val="21"/>
                <w:szCs w:val="21"/>
                <w:lang w:bidi="en-US"/>
              </w:rPr>
              <w:t>脱硝效率＞80%，系统氨逃逸质量浓度控制在2.5mg/Nm</w:t>
            </w:r>
            <w:r>
              <w:rPr>
                <w:color w:val="000000"/>
                <w:kern w:val="0"/>
                <w:sz w:val="21"/>
                <w:szCs w:val="21"/>
                <w:vertAlign w:val="superscript"/>
                <w:lang w:bidi="en-US"/>
              </w:rPr>
              <w:t>3</w:t>
            </w:r>
            <w:r>
              <w:rPr>
                <w:color w:val="000000"/>
                <w:kern w:val="0"/>
                <w:sz w:val="21"/>
                <w:szCs w:val="21"/>
                <w:lang w:bidi="en-US"/>
              </w:rPr>
              <w:t>以下，SO2转化率＜1%。</w:t>
            </w:r>
          </w:p>
        </w:tc>
        <w:tc>
          <w:tcPr>
            <w:tcW w:w="1432"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097E67D6">
            <w:pPr>
              <w:spacing w:line="254" w:lineRule="exact"/>
              <w:jc w:val="left"/>
              <w:rPr>
                <w:rFonts w:hint="default"/>
                <w:color w:val="000000"/>
                <w:kern w:val="0"/>
                <w:sz w:val="21"/>
                <w:szCs w:val="21"/>
                <w:lang w:bidi="en-US"/>
              </w:rPr>
            </w:pPr>
            <w:r>
              <w:rPr>
                <w:color w:val="000000"/>
                <w:kern w:val="0"/>
                <w:sz w:val="21"/>
                <w:szCs w:val="21"/>
                <w:lang w:bidi="en-US"/>
              </w:rPr>
              <w:t>适用于燃煤发电机组及水泥工业等烟气脱硝。也适用于平板玻璃、石油炼制行业催化裂化装置的烟气脱硝。</w:t>
            </w:r>
          </w:p>
        </w:tc>
      </w:tr>
    </w:tbl>
    <w:p w14:paraId="6EB52897">
      <w:pPr>
        <w:spacing w:line="1" w:lineRule="exact"/>
        <w:jc w:val="left"/>
        <w:rPr>
          <w:rFonts w:hint="default"/>
          <w:color w:val="000000"/>
          <w:kern w:val="0"/>
          <w:sz w:val="21"/>
          <w:szCs w:val="21"/>
          <w:lang w:bidi="en-US"/>
        </w:rPr>
      </w:pPr>
      <w:r>
        <w:rPr>
          <w:color w:val="000000"/>
          <w:kern w:val="0"/>
          <w:sz w:val="21"/>
          <w:szCs w:val="21"/>
          <w:lang w:bidi="en-US"/>
        </w:rPr>
        <w:br w:type="page"/>
      </w:r>
    </w:p>
    <w:tbl>
      <w:tblPr>
        <w:tblStyle w:val="3"/>
        <w:tblW w:w="4998" w:type="pct"/>
        <w:jc w:val="center"/>
        <w:tblLayout w:type="autofit"/>
        <w:tblCellMar>
          <w:top w:w="0" w:type="dxa"/>
          <w:left w:w="10" w:type="dxa"/>
          <w:bottom w:w="0" w:type="dxa"/>
          <w:right w:w="10" w:type="dxa"/>
        </w:tblCellMar>
      </w:tblPr>
      <w:tblGrid>
        <w:gridCol w:w="369"/>
        <w:gridCol w:w="585"/>
        <w:gridCol w:w="1023"/>
        <w:gridCol w:w="2162"/>
        <w:gridCol w:w="1854"/>
        <w:gridCol w:w="2329"/>
      </w:tblGrid>
      <w:tr w14:paraId="2E71CC4F">
        <w:tblPrEx>
          <w:tblCellMar>
            <w:top w:w="0" w:type="dxa"/>
            <w:left w:w="10" w:type="dxa"/>
            <w:bottom w:w="0" w:type="dxa"/>
            <w:right w:w="10" w:type="dxa"/>
          </w:tblCellMar>
        </w:tblPrEx>
        <w:trPr>
          <w:trHeight w:val="451" w:hRule="exact"/>
          <w:jc w:val="center"/>
        </w:trPr>
        <w:tc>
          <w:tcPr>
            <w:tcW w:w="255" w:type="pct"/>
            <w:tcBorders>
              <w:top w:val="single" w:color="auto" w:sz="4" w:space="0"/>
              <w:left w:val="single" w:color="auto" w:sz="4" w:space="0"/>
            </w:tcBorders>
            <w:shd w:val="clear" w:color="auto" w:fill="FFFFFF"/>
            <w:noWrap w:val="0"/>
            <w:vAlign w:val="center"/>
          </w:tcPr>
          <w:p w14:paraId="5B075493">
            <w:pPr>
              <w:jc w:val="center"/>
              <w:rPr>
                <w:rFonts w:hint="default"/>
                <w:color w:val="000000"/>
                <w:kern w:val="0"/>
                <w:sz w:val="21"/>
                <w:szCs w:val="21"/>
                <w:lang w:eastAsia="en-US" w:bidi="en-US"/>
              </w:rPr>
            </w:pPr>
            <w:r>
              <w:rPr>
                <w:b/>
                <w:bCs/>
                <w:color w:val="000000"/>
                <w:kern w:val="0"/>
                <w:sz w:val="21"/>
                <w:szCs w:val="21"/>
                <w:lang w:eastAsia="en-US" w:bidi="en-US"/>
              </w:rPr>
              <w:t>序号</w:t>
            </w:r>
          </w:p>
        </w:tc>
        <w:tc>
          <w:tcPr>
            <w:tcW w:w="833" w:type="pct"/>
            <w:gridSpan w:val="2"/>
            <w:tcBorders>
              <w:top w:val="single" w:color="auto" w:sz="4" w:space="0"/>
              <w:left w:val="single" w:color="auto" w:sz="4" w:space="0"/>
            </w:tcBorders>
            <w:shd w:val="clear" w:color="auto" w:fill="FFFFFF"/>
            <w:noWrap w:val="0"/>
            <w:vAlign w:val="center"/>
          </w:tcPr>
          <w:p w14:paraId="5EFCBD07">
            <w:pPr>
              <w:jc w:val="center"/>
              <w:rPr>
                <w:rFonts w:hint="default"/>
                <w:color w:val="000000"/>
                <w:kern w:val="0"/>
                <w:sz w:val="21"/>
                <w:szCs w:val="21"/>
                <w:lang w:eastAsia="en-US" w:bidi="en-US"/>
              </w:rPr>
            </w:pPr>
            <w:r>
              <w:rPr>
                <w:b/>
                <w:bCs/>
                <w:color w:val="000000"/>
                <w:kern w:val="0"/>
                <w:sz w:val="21"/>
                <w:szCs w:val="21"/>
                <w:lang w:eastAsia="en-US" w:bidi="en-US"/>
              </w:rPr>
              <w:t>设备名称</w:t>
            </w:r>
          </w:p>
        </w:tc>
        <w:tc>
          <w:tcPr>
            <w:tcW w:w="1332" w:type="pct"/>
            <w:tcBorders>
              <w:top w:val="single" w:color="auto" w:sz="4" w:space="0"/>
              <w:left w:val="single" w:color="auto" w:sz="4" w:space="0"/>
            </w:tcBorders>
            <w:shd w:val="clear" w:color="auto" w:fill="FFFFFF"/>
            <w:noWrap w:val="0"/>
            <w:vAlign w:val="center"/>
          </w:tcPr>
          <w:p w14:paraId="6CC8976D">
            <w:pPr>
              <w:jc w:val="center"/>
              <w:rPr>
                <w:rFonts w:hint="default"/>
                <w:color w:val="000000"/>
                <w:kern w:val="0"/>
                <w:sz w:val="21"/>
                <w:szCs w:val="21"/>
                <w:lang w:eastAsia="en-US" w:bidi="en-US"/>
              </w:rPr>
            </w:pPr>
            <w:r>
              <w:rPr>
                <w:b/>
                <w:bCs/>
                <w:color w:val="000000"/>
                <w:kern w:val="0"/>
                <w:sz w:val="21"/>
                <w:szCs w:val="21"/>
                <w:lang w:eastAsia="en-US" w:bidi="en-US"/>
              </w:rPr>
              <w:t>关键设备</w:t>
            </w:r>
          </w:p>
        </w:tc>
        <w:tc>
          <w:tcPr>
            <w:tcW w:w="1147" w:type="pct"/>
            <w:tcBorders>
              <w:top w:val="single" w:color="auto" w:sz="4" w:space="0"/>
              <w:left w:val="single" w:color="auto" w:sz="4" w:space="0"/>
            </w:tcBorders>
            <w:shd w:val="clear" w:color="auto" w:fill="FFFFFF"/>
            <w:noWrap w:val="0"/>
            <w:vAlign w:val="center"/>
          </w:tcPr>
          <w:p w14:paraId="3967075B">
            <w:pPr>
              <w:jc w:val="center"/>
              <w:rPr>
                <w:rFonts w:hint="default"/>
                <w:color w:val="000000"/>
                <w:kern w:val="0"/>
                <w:sz w:val="21"/>
                <w:szCs w:val="21"/>
                <w:lang w:eastAsia="en-US" w:bidi="en-US"/>
              </w:rPr>
            </w:pPr>
            <w:r>
              <w:rPr>
                <w:b/>
                <w:bCs/>
                <w:color w:val="000000"/>
                <w:kern w:val="0"/>
                <w:sz w:val="21"/>
                <w:szCs w:val="21"/>
                <w:lang w:eastAsia="en-US" w:bidi="en-US"/>
              </w:rPr>
              <w:t>性能参数</w:t>
            </w:r>
          </w:p>
        </w:tc>
        <w:tc>
          <w:tcPr>
            <w:tcW w:w="1432" w:type="pct"/>
            <w:tcBorders>
              <w:top w:val="single" w:color="auto" w:sz="4" w:space="0"/>
              <w:left w:val="single" w:color="auto" w:sz="4" w:space="0"/>
              <w:right w:val="single" w:color="auto" w:sz="4" w:space="0"/>
            </w:tcBorders>
            <w:shd w:val="clear" w:color="auto" w:fill="FFFFFF"/>
            <w:noWrap w:val="0"/>
            <w:vAlign w:val="center"/>
          </w:tcPr>
          <w:p w14:paraId="4F1F43F9">
            <w:pPr>
              <w:jc w:val="center"/>
              <w:rPr>
                <w:rFonts w:hint="default"/>
                <w:color w:val="000000"/>
                <w:kern w:val="0"/>
                <w:sz w:val="21"/>
                <w:szCs w:val="21"/>
                <w:lang w:eastAsia="en-US" w:bidi="en-US"/>
              </w:rPr>
            </w:pPr>
            <w:r>
              <w:rPr>
                <w:b/>
                <w:bCs/>
                <w:color w:val="000000"/>
                <w:kern w:val="0"/>
                <w:sz w:val="21"/>
                <w:szCs w:val="21"/>
                <w:lang w:eastAsia="en-US" w:bidi="en-US"/>
              </w:rPr>
              <w:t>应用领域</w:t>
            </w:r>
          </w:p>
        </w:tc>
      </w:tr>
      <w:tr w14:paraId="6C207090">
        <w:tblPrEx>
          <w:tblCellMar>
            <w:top w:w="0" w:type="dxa"/>
            <w:left w:w="10" w:type="dxa"/>
            <w:bottom w:w="0" w:type="dxa"/>
            <w:right w:w="10" w:type="dxa"/>
          </w:tblCellMar>
        </w:tblPrEx>
        <w:trPr>
          <w:trHeight w:val="1547" w:hRule="exact"/>
          <w:jc w:val="center"/>
        </w:trPr>
        <w:tc>
          <w:tcPr>
            <w:tcW w:w="255" w:type="pct"/>
            <w:tcBorders>
              <w:top w:val="single" w:color="auto" w:sz="4" w:space="0"/>
              <w:left w:val="single" w:color="auto" w:sz="4" w:space="0"/>
            </w:tcBorders>
            <w:shd w:val="clear" w:color="auto" w:fill="FFFFFF"/>
            <w:noWrap w:val="0"/>
            <w:vAlign w:val="center"/>
          </w:tcPr>
          <w:p w14:paraId="6DDA47B2">
            <w:pPr>
              <w:jc w:val="center"/>
              <w:rPr>
                <w:rFonts w:hint="default"/>
                <w:color w:val="000000"/>
                <w:kern w:val="0"/>
                <w:sz w:val="21"/>
                <w:szCs w:val="21"/>
                <w:lang w:eastAsia="en-US" w:bidi="en-US"/>
              </w:rPr>
            </w:pPr>
            <w:r>
              <w:rPr>
                <w:color w:val="000000"/>
                <w:kern w:val="0"/>
                <w:sz w:val="21"/>
                <w:szCs w:val="21"/>
                <w:lang w:eastAsia="en-US" w:bidi="en-US"/>
              </w:rPr>
              <w:t>6</w:t>
            </w:r>
          </w:p>
        </w:tc>
        <w:tc>
          <w:tcPr>
            <w:tcW w:w="317" w:type="pct"/>
            <w:tcBorders>
              <w:top w:val="single" w:color="auto" w:sz="4" w:space="0"/>
              <w:left w:val="single" w:color="auto" w:sz="4" w:space="0"/>
            </w:tcBorders>
            <w:shd w:val="clear" w:color="auto" w:fill="FFFFFF"/>
            <w:noWrap w:val="0"/>
            <w:vAlign w:val="center"/>
          </w:tcPr>
          <w:p w14:paraId="4B8C893E">
            <w:pPr>
              <w:spacing w:after="40" w:line="300" w:lineRule="exact"/>
              <w:jc w:val="center"/>
              <w:rPr>
                <w:rFonts w:hint="default"/>
                <w:color w:val="000000"/>
                <w:kern w:val="0"/>
                <w:sz w:val="21"/>
                <w:szCs w:val="21"/>
                <w:lang w:eastAsia="en-US" w:bidi="en-US"/>
              </w:rPr>
            </w:pPr>
            <w:r>
              <w:rPr>
                <w:color w:val="000000"/>
                <w:kern w:val="0"/>
                <w:sz w:val="21"/>
                <w:szCs w:val="21"/>
                <w:lang w:eastAsia="en-US" w:bidi="en-US"/>
              </w:rPr>
              <w:t>脱硝</w:t>
            </w:r>
          </w:p>
          <w:p w14:paraId="36353528">
            <w:pPr>
              <w:spacing w:line="300" w:lineRule="exact"/>
              <w:jc w:val="center"/>
              <w:rPr>
                <w:rFonts w:hint="default"/>
                <w:color w:val="000000"/>
                <w:kern w:val="0"/>
                <w:sz w:val="21"/>
                <w:szCs w:val="21"/>
                <w:lang w:eastAsia="en-US" w:bidi="en-US"/>
              </w:rPr>
            </w:pPr>
            <w:r>
              <w:rPr>
                <w:color w:val="000000"/>
                <w:kern w:val="0"/>
                <w:sz w:val="21"/>
                <w:szCs w:val="21"/>
                <w:lang w:eastAsia="en-US" w:bidi="en-US"/>
              </w:rPr>
              <w:t>设备</w:t>
            </w:r>
          </w:p>
        </w:tc>
        <w:tc>
          <w:tcPr>
            <w:tcW w:w="516" w:type="pct"/>
            <w:tcBorders>
              <w:top w:val="single" w:color="auto" w:sz="4" w:space="0"/>
              <w:left w:val="single" w:color="auto" w:sz="4" w:space="0"/>
            </w:tcBorders>
            <w:shd w:val="clear" w:color="auto" w:fill="FFFFFF"/>
            <w:noWrap w:val="0"/>
            <w:vAlign w:val="center"/>
          </w:tcPr>
          <w:p w14:paraId="2A9039A3">
            <w:pPr>
              <w:spacing w:line="300" w:lineRule="exact"/>
              <w:jc w:val="center"/>
              <w:rPr>
                <w:rFonts w:hint="default"/>
                <w:color w:val="000000"/>
                <w:kern w:val="0"/>
                <w:sz w:val="21"/>
                <w:szCs w:val="21"/>
                <w:lang w:bidi="en-US"/>
              </w:rPr>
            </w:pPr>
            <w:r>
              <w:rPr>
                <w:color w:val="000000"/>
                <w:kern w:val="0"/>
                <w:sz w:val="21"/>
                <w:szCs w:val="21"/>
                <w:lang w:bidi="en-US"/>
              </w:rPr>
              <w:t>选择性非催化还原（SNCR）脱硝成套设备</w:t>
            </w:r>
          </w:p>
        </w:tc>
        <w:tc>
          <w:tcPr>
            <w:tcW w:w="1332" w:type="pct"/>
            <w:tcBorders>
              <w:top w:val="single" w:color="auto" w:sz="4" w:space="0"/>
              <w:left w:val="single" w:color="auto" w:sz="4" w:space="0"/>
            </w:tcBorders>
            <w:shd w:val="clear" w:color="auto" w:fill="FFFFFF"/>
            <w:noWrap w:val="0"/>
            <w:vAlign w:val="center"/>
          </w:tcPr>
          <w:p w14:paraId="5AFBEA13">
            <w:pPr>
              <w:spacing w:line="300" w:lineRule="exact"/>
              <w:rPr>
                <w:rFonts w:hint="default"/>
                <w:color w:val="000000"/>
                <w:kern w:val="0"/>
                <w:sz w:val="21"/>
                <w:szCs w:val="21"/>
                <w:lang w:bidi="en-US"/>
              </w:rPr>
            </w:pPr>
            <w:r>
              <w:rPr>
                <w:color w:val="000000"/>
                <w:kern w:val="0"/>
                <w:sz w:val="21"/>
                <w:szCs w:val="21"/>
                <w:lang w:bidi="en-US"/>
              </w:rPr>
              <w:t>还原剂储罐、空气压缩机、混合器、水泵、循环泵、多层还原剂喷入装置和控制设备等。</w:t>
            </w:r>
          </w:p>
        </w:tc>
        <w:tc>
          <w:tcPr>
            <w:tcW w:w="1147" w:type="pct"/>
            <w:tcBorders>
              <w:top w:val="single" w:color="auto" w:sz="4" w:space="0"/>
              <w:left w:val="single" w:color="auto" w:sz="4" w:space="0"/>
            </w:tcBorders>
            <w:shd w:val="clear" w:color="auto" w:fill="FFFFFF"/>
            <w:noWrap w:val="0"/>
            <w:vAlign w:val="center"/>
          </w:tcPr>
          <w:p w14:paraId="7076A60C">
            <w:pPr>
              <w:spacing w:line="300" w:lineRule="exact"/>
              <w:jc w:val="left"/>
              <w:rPr>
                <w:rFonts w:hint="default"/>
                <w:color w:val="000000"/>
                <w:kern w:val="0"/>
                <w:sz w:val="21"/>
                <w:szCs w:val="21"/>
                <w:lang w:bidi="en-US"/>
              </w:rPr>
            </w:pPr>
            <w:r>
              <w:rPr>
                <w:color w:val="000000"/>
                <w:kern w:val="0"/>
                <w:sz w:val="21"/>
                <w:szCs w:val="21"/>
                <w:lang w:bidi="en-US"/>
              </w:rPr>
              <w:t>脱硝效率为40%～60%，氨逃逸率＜8ppm</w:t>
            </w:r>
            <w:r>
              <w:rPr>
                <w:color w:val="000000"/>
                <w:kern w:val="0"/>
                <w:sz w:val="21"/>
                <w:szCs w:val="21"/>
                <w:vertAlign w:val="subscript"/>
                <w:lang w:bidi="en-US"/>
              </w:rPr>
              <w:t>o</w:t>
            </w:r>
          </w:p>
        </w:tc>
        <w:tc>
          <w:tcPr>
            <w:tcW w:w="1432" w:type="pct"/>
            <w:tcBorders>
              <w:top w:val="single" w:color="auto" w:sz="4" w:space="0"/>
              <w:left w:val="single" w:color="auto" w:sz="4" w:space="0"/>
              <w:right w:val="single" w:color="auto" w:sz="4" w:space="0"/>
            </w:tcBorders>
            <w:shd w:val="clear" w:color="auto" w:fill="FFFFFF"/>
            <w:noWrap w:val="0"/>
            <w:vAlign w:val="center"/>
          </w:tcPr>
          <w:p w14:paraId="173F8C9F">
            <w:pPr>
              <w:spacing w:line="300" w:lineRule="exact"/>
              <w:rPr>
                <w:rFonts w:hint="default"/>
                <w:color w:val="000000"/>
                <w:kern w:val="0"/>
                <w:sz w:val="21"/>
                <w:szCs w:val="21"/>
                <w:lang w:bidi="en-US"/>
              </w:rPr>
            </w:pPr>
            <w:r>
              <w:rPr>
                <w:color w:val="000000"/>
                <w:kern w:val="0"/>
                <w:sz w:val="21"/>
                <w:szCs w:val="21"/>
                <w:lang w:bidi="en-US"/>
              </w:rPr>
              <w:t>适用于燃煤发电机组辅助脱硝、平板玻璃及水泥工业等烟气脱硝。</w:t>
            </w:r>
          </w:p>
        </w:tc>
      </w:tr>
      <w:tr w14:paraId="76202E03">
        <w:tblPrEx>
          <w:tblCellMar>
            <w:top w:w="0" w:type="dxa"/>
            <w:left w:w="10" w:type="dxa"/>
            <w:bottom w:w="0" w:type="dxa"/>
            <w:right w:w="10" w:type="dxa"/>
          </w:tblCellMar>
        </w:tblPrEx>
        <w:trPr>
          <w:trHeight w:val="2546" w:hRule="exact"/>
          <w:jc w:val="center"/>
        </w:trPr>
        <w:tc>
          <w:tcPr>
            <w:tcW w:w="255" w:type="pct"/>
            <w:tcBorders>
              <w:top w:val="single" w:color="auto" w:sz="4" w:space="0"/>
              <w:left w:val="single" w:color="auto" w:sz="4" w:space="0"/>
            </w:tcBorders>
            <w:shd w:val="clear" w:color="auto" w:fill="FFFFFF"/>
            <w:noWrap w:val="0"/>
            <w:vAlign w:val="center"/>
          </w:tcPr>
          <w:p w14:paraId="09BEA5F0">
            <w:pPr>
              <w:jc w:val="center"/>
              <w:rPr>
                <w:rFonts w:hint="default"/>
                <w:color w:val="000000"/>
                <w:kern w:val="0"/>
                <w:sz w:val="21"/>
                <w:szCs w:val="21"/>
                <w:lang w:eastAsia="en-US" w:bidi="en-US"/>
              </w:rPr>
            </w:pPr>
            <w:r>
              <w:rPr>
                <w:color w:val="000000"/>
                <w:kern w:val="0"/>
                <w:sz w:val="21"/>
                <w:szCs w:val="21"/>
                <w:lang w:eastAsia="en-US" w:bidi="en-US"/>
              </w:rPr>
              <w:t>7</w:t>
            </w:r>
          </w:p>
        </w:tc>
        <w:tc>
          <w:tcPr>
            <w:tcW w:w="317" w:type="pct"/>
            <w:vMerge w:val="restart"/>
            <w:tcBorders>
              <w:top w:val="single" w:color="auto" w:sz="4" w:space="0"/>
              <w:left w:val="single" w:color="auto" w:sz="4" w:space="0"/>
            </w:tcBorders>
            <w:shd w:val="clear" w:color="auto" w:fill="FFFFFF"/>
            <w:noWrap w:val="0"/>
            <w:vAlign w:val="center"/>
          </w:tcPr>
          <w:p w14:paraId="39A99482">
            <w:pPr>
              <w:spacing w:after="40" w:line="300" w:lineRule="exact"/>
              <w:jc w:val="center"/>
              <w:rPr>
                <w:rFonts w:hint="default"/>
                <w:color w:val="000000"/>
                <w:kern w:val="0"/>
                <w:sz w:val="21"/>
                <w:szCs w:val="21"/>
                <w:lang w:eastAsia="en-US" w:bidi="en-US"/>
              </w:rPr>
            </w:pPr>
            <w:r>
              <w:rPr>
                <w:color w:val="000000"/>
                <w:kern w:val="0"/>
                <w:sz w:val="21"/>
                <w:szCs w:val="21"/>
                <w:lang w:eastAsia="en-US" w:bidi="en-US"/>
              </w:rPr>
              <w:t>除尘</w:t>
            </w:r>
          </w:p>
          <w:p w14:paraId="26236EB0">
            <w:pPr>
              <w:spacing w:line="300" w:lineRule="exact"/>
              <w:jc w:val="center"/>
              <w:rPr>
                <w:rFonts w:hint="default"/>
                <w:color w:val="000000"/>
                <w:kern w:val="0"/>
                <w:sz w:val="21"/>
                <w:szCs w:val="21"/>
                <w:lang w:eastAsia="en-US" w:bidi="en-US"/>
              </w:rPr>
            </w:pPr>
            <w:r>
              <w:rPr>
                <w:color w:val="000000"/>
                <w:kern w:val="0"/>
                <w:sz w:val="21"/>
                <w:szCs w:val="21"/>
                <w:lang w:eastAsia="en-US" w:bidi="en-US"/>
              </w:rPr>
              <w:t>设备</w:t>
            </w:r>
          </w:p>
        </w:tc>
        <w:tc>
          <w:tcPr>
            <w:tcW w:w="516" w:type="pct"/>
            <w:tcBorders>
              <w:top w:val="single" w:color="auto" w:sz="4" w:space="0"/>
              <w:left w:val="single" w:color="auto" w:sz="4" w:space="0"/>
            </w:tcBorders>
            <w:shd w:val="clear" w:color="auto" w:fill="FFFFFF"/>
            <w:noWrap w:val="0"/>
            <w:vAlign w:val="center"/>
          </w:tcPr>
          <w:p w14:paraId="1B540519">
            <w:pPr>
              <w:spacing w:line="300" w:lineRule="exact"/>
              <w:jc w:val="center"/>
              <w:rPr>
                <w:rFonts w:hint="default"/>
                <w:color w:val="000000"/>
                <w:kern w:val="0"/>
                <w:sz w:val="21"/>
                <w:szCs w:val="21"/>
                <w:lang w:eastAsia="en-US" w:bidi="en-US"/>
              </w:rPr>
            </w:pPr>
            <w:r>
              <w:rPr>
                <w:color w:val="000000"/>
                <w:kern w:val="0"/>
                <w:sz w:val="21"/>
                <w:szCs w:val="21"/>
                <w:lang w:eastAsia="en-US" w:bidi="en-US"/>
              </w:rPr>
              <w:t>电除尘器</w:t>
            </w:r>
          </w:p>
        </w:tc>
        <w:tc>
          <w:tcPr>
            <w:tcW w:w="1332" w:type="pct"/>
            <w:tcBorders>
              <w:top w:val="single" w:color="auto" w:sz="4" w:space="0"/>
              <w:left w:val="single" w:color="auto" w:sz="4" w:space="0"/>
            </w:tcBorders>
            <w:shd w:val="clear" w:color="auto" w:fill="FFFFFF"/>
            <w:noWrap w:val="0"/>
            <w:vAlign w:val="center"/>
          </w:tcPr>
          <w:p w14:paraId="0F4F8226">
            <w:pPr>
              <w:spacing w:line="300" w:lineRule="exact"/>
              <w:rPr>
                <w:rFonts w:hint="default"/>
                <w:color w:val="000000"/>
                <w:kern w:val="0"/>
                <w:sz w:val="21"/>
                <w:szCs w:val="21"/>
                <w:lang w:bidi="en-US"/>
              </w:rPr>
            </w:pPr>
            <w:r>
              <w:rPr>
                <w:color w:val="000000"/>
                <w:kern w:val="0"/>
                <w:sz w:val="21"/>
                <w:szCs w:val="21"/>
                <w:lang w:bidi="en-US"/>
              </w:rPr>
              <w:t>阴、阳极系统、振打装置、外壳结构件、进出口封头、气流分布装置、高压电源、低压系统和集控系统、湿式电除尘喷淋系统及防腐装置、移动电极移动阳极系统及刷灰装置、粉尘凝聚装置等。</w:t>
            </w:r>
          </w:p>
        </w:tc>
        <w:tc>
          <w:tcPr>
            <w:tcW w:w="1147" w:type="pct"/>
            <w:tcBorders>
              <w:top w:val="single" w:color="auto" w:sz="4" w:space="0"/>
              <w:left w:val="single" w:color="auto" w:sz="4" w:space="0"/>
            </w:tcBorders>
            <w:shd w:val="clear" w:color="auto" w:fill="FFFFFF"/>
            <w:noWrap w:val="0"/>
            <w:vAlign w:val="center"/>
          </w:tcPr>
          <w:p w14:paraId="346EEECD">
            <w:pPr>
              <w:spacing w:line="300" w:lineRule="exact"/>
              <w:jc w:val="left"/>
              <w:rPr>
                <w:rFonts w:hint="default"/>
                <w:color w:val="000000"/>
                <w:kern w:val="0"/>
                <w:sz w:val="21"/>
                <w:szCs w:val="21"/>
                <w:lang w:bidi="en-US"/>
              </w:rPr>
            </w:pPr>
            <w:r>
              <w:rPr>
                <w:color w:val="000000"/>
                <w:kern w:val="0"/>
                <w:sz w:val="21"/>
                <w:szCs w:val="21"/>
                <w:lang w:bidi="en-US"/>
              </w:rPr>
              <w:t>除尘效率＞99.8%以上，设备阻力＜300Pa，本体漏风率＜2%，烟尘排放浓度20mg/Nm</w:t>
            </w:r>
            <w:r>
              <w:rPr>
                <w:color w:val="000000"/>
                <w:kern w:val="0"/>
                <w:sz w:val="21"/>
                <w:szCs w:val="21"/>
                <w:vertAlign w:val="superscript"/>
                <w:lang w:bidi="en-US"/>
              </w:rPr>
              <w:t>3</w:t>
            </w:r>
            <w:r>
              <w:rPr>
                <w:color w:val="000000"/>
                <w:kern w:val="0"/>
                <w:sz w:val="21"/>
                <w:szCs w:val="21"/>
                <w:lang w:bidi="en-US"/>
              </w:rPr>
              <w:t>。</w:t>
            </w:r>
          </w:p>
        </w:tc>
        <w:tc>
          <w:tcPr>
            <w:tcW w:w="1432" w:type="pct"/>
            <w:tcBorders>
              <w:top w:val="single" w:color="auto" w:sz="4" w:space="0"/>
              <w:left w:val="single" w:color="auto" w:sz="4" w:space="0"/>
              <w:right w:val="single" w:color="auto" w:sz="4" w:space="0"/>
            </w:tcBorders>
            <w:shd w:val="clear" w:color="auto" w:fill="FFFFFF"/>
            <w:noWrap w:val="0"/>
            <w:vAlign w:val="center"/>
          </w:tcPr>
          <w:p w14:paraId="4A006473">
            <w:pPr>
              <w:spacing w:line="300" w:lineRule="exact"/>
              <w:rPr>
                <w:rFonts w:hint="default"/>
                <w:color w:val="000000"/>
                <w:kern w:val="0"/>
                <w:sz w:val="21"/>
                <w:szCs w:val="21"/>
                <w:lang w:bidi="en-US"/>
              </w:rPr>
            </w:pPr>
            <w:r>
              <w:rPr>
                <w:color w:val="000000"/>
                <w:kern w:val="0"/>
                <w:sz w:val="21"/>
                <w:szCs w:val="21"/>
                <w:lang w:bidi="en-US"/>
              </w:rPr>
              <w:t>适用于1000MW及以下燃煤发电机组烟气粉尘治理以及钢铁、有色金属、冶金、建材、化工等多个行业的工业除尘。</w:t>
            </w:r>
          </w:p>
        </w:tc>
      </w:tr>
      <w:tr w14:paraId="615FCED9">
        <w:tblPrEx>
          <w:tblCellMar>
            <w:top w:w="0" w:type="dxa"/>
            <w:left w:w="10" w:type="dxa"/>
            <w:bottom w:w="0" w:type="dxa"/>
            <w:right w:w="10" w:type="dxa"/>
          </w:tblCellMar>
        </w:tblPrEx>
        <w:trPr>
          <w:trHeight w:val="1987" w:hRule="exact"/>
          <w:jc w:val="center"/>
        </w:trPr>
        <w:tc>
          <w:tcPr>
            <w:tcW w:w="255" w:type="pct"/>
            <w:tcBorders>
              <w:top w:val="single" w:color="auto" w:sz="4" w:space="0"/>
              <w:left w:val="single" w:color="auto" w:sz="4" w:space="0"/>
            </w:tcBorders>
            <w:shd w:val="clear" w:color="auto" w:fill="FFFFFF"/>
            <w:noWrap w:val="0"/>
            <w:vAlign w:val="center"/>
          </w:tcPr>
          <w:p w14:paraId="5BF7E6B1">
            <w:pPr>
              <w:jc w:val="center"/>
              <w:rPr>
                <w:rFonts w:hint="default"/>
                <w:color w:val="000000"/>
                <w:kern w:val="0"/>
                <w:sz w:val="21"/>
                <w:szCs w:val="21"/>
                <w:lang w:eastAsia="en-US" w:bidi="en-US"/>
              </w:rPr>
            </w:pPr>
            <w:r>
              <w:rPr>
                <w:color w:val="000000"/>
                <w:kern w:val="0"/>
                <w:sz w:val="21"/>
                <w:szCs w:val="21"/>
                <w:lang w:eastAsia="en-US" w:bidi="en-US"/>
              </w:rPr>
              <w:t>8</w:t>
            </w:r>
          </w:p>
        </w:tc>
        <w:tc>
          <w:tcPr>
            <w:tcW w:w="317" w:type="pct"/>
            <w:vMerge w:val="continue"/>
            <w:tcBorders>
              <w:left w:val="single" w:color="auto" w:sz="4" w:space="0"/>
            </w:tcBorders>
            <w:shd w:val="clear" w:color="auto" w:fill="FFFFFF"/>
            <w:noWrap w:val="0"/>
            <w:vAlign w:val="center"/>
          </w:tcPr>
          <w:p w14:paraId="789CEAD2">
            <w:pPr>
              <w:spacing w:line="300" w:lineRule="exact"/>
              <w:jc w:val="left"/>
              <w:rPr>
                <w:rFonts w:hint="default"/>
                <w:color w:val="000000"/>
                <w:kern w:val="0"/>
                <w:sz w:val="21"/>
                <w:szCs w:val="21"/>
                <w:lang w:eastAsia="en-US" w:bidi="en-US"/>
              </w:rPr>
            </w:pPr>
          </w:p>
        </w:tc>
        <w:tc>
          <w:tcPr>
            <w:tcW w:w="516" w:type="pct"/>
            <w:tcBorders>
              <w:top w:val="single" w:color="auto" w:sz="4" w:space="0"/>
              <w:left w:val="single" w:color="auto" w:sz="4" w:space="0"/>
            </w:tcBorders>
            <w:shd w:val="clear" w:color="auto" w:fill="FFFFFF"/>
            <w:noWrap w:val="0"/>
            <w:vAlign w:val="center"/>
          </w:tcPr>
          <w:p w14:paraId="54B54FB1">
            <w:pPr>
              <w:spacing w:line="300" w:lineRule="exact"/>
              <w:jc w:val="center"/>
              <w:rPr>
                <w:rFonts w:hint="default"/>
                <w:color w:val="000000"/>
                <w:kern w:val="0"/>
                <w:sz w:val="21"/>
                <w:szCs w:val="21"/>
                <w:lang w:eastAsia="en-US" w:bidi="en-US"/>
              </w:rPr>
            </w:pPr>
            <w:r>
              <w:rPr>
                <w:color w:val="000000"/>
                <w:kern w:val="0"/>
                <w:sz w:val="21"/>
                <w:szCs w:val="21"/>
                <w:lang w:eastAsia="en-US" w:bidi="en-US"/>
              </w:rPr>
              <w:t>电袋复合除尘器</w:t>
            </w:r>
          </w:p>
        </w:tc>
        <w:tc>
          <w:tcPr>
            <w:tcW w:w="1332" w:type="pct"/>
            <w:tcBorders>
              <w:top w:val="single" w:color="auto" w:sz="4" w:space="0"/>
              <w:left w:val="single" w:color="auto" w:sz="4" w:space="0"/>
            </w:tcBorders>
            <w:shd w:val="clear" w:color="auto" w:fill="FFFFFF"/>
            <w:noWrap w:val="0"/>
            <w:vAlign w:val="center"/>
          </w:tcPr>
          <w:p w14:paraId="1EC8A073">
            <w:pPr>
              <w:spacing w:line="300" w:lineRule="exact"/>
              <w:rPr>
                <w:rFonts w:hint="default"/>
                <w:color w:val="000000"/>
                <w:kern w:val="0"/>
                <w:sz w:val="21"/>
                <w:szCs w:val="21"/>
                <w:lang w:bidi="en-US"/>
              </w:rPr>
            </w:pPr>
            <w:r>
              <w:rPr>
                <w:color w:val="000000"/>
                <w:kern w:val="0"/>
                <w:sz w:val="21"/>
                <w:szCs w:val="21"/>
                <w:lang w:bidi="en-US"/>
              </w:rPr>
              <w:t>阴、阳极系统、振打装置、外壳结构件、进出口封头、气流分布装置、高压电源、低压系统和集控系统、花板、滤袋、喷吹系统等。</w:t>
            </w:r>
          </w:p>
        </w:tc>
        <w:tc>
          <w:tcPr>
            <w:tcW w:w="1147" w:type="pct"/>
            <w:tcBorders>
              <w:top w:val="single" w:color="auto" w:sz="4" w:space="0"/>
              <w:left w:val="single" w:color="auto" w:sz="4" w:space="0"/>
            </w:tcBorders>
            <w:shd w:val="clear" w:color="auto" w:fill="FFFFFF"/>
            <w:noWrap w:val="0"/>
            <w:vAlign w:val="center"/>
          </w:tcPr>
          <w:p w14:paraId="4420828A">
            <w:pPr>
              <w:spacing w:line="300" w:lineRule="exact"/>
              <w:jc w:val="left"/>
              <w:rPr>
                <w:rFonts w:hint="default"/>
                <w:color w:val="000000"/>
                <w:kern w:val="0"/>
                <w:sz w:val="21"/>
                <w:szCs w:val="21"/>
                <w:lang w:bidi="en-US"/>
              </w:rPr>
            </w:pPr>
            <w:r>
              <w:rPr>
                <w:color w:val="000000"/>
                <w:kern w:val="0"/>
                <w:sz w:val="21"/>
                <w:szCs w:val="21"/>
                <w:lang w:bidi="en-US"/>
              </w:rPr>
              <w:t>除尘效率达99.8%，设备阻力＜1000Pa，过滤速＞1.2m/min，滤袋寿命＞3年，烟尘排放浓度低于20mg/Nm</w:t>
            </w:r>
            <w:r>
              <w:rPr>
                <w:color w:val="000000"/>
                <w:kern w:val="0"/>
                <w:sz w:val="21"/>
                <w:szCs w:val="21"/>
                <w:vertAlign w:val="superscript"/>
                <w:lang w:bidi="en-US"/>
              </w:rPr>
              <w:t>3</w:t>
            </w:r>
            <w:r>
              <w:rPr>
                <w:color w:val="000000"/>
                <w:kern w:val="0"/>
                <w:sz w:val="21"/>
                <w:szCs w:val="21"/>
                <w:lang w:bidi="en-US"/>
              </w:rPr>
              <w:t>。</w:t>
            </w:r>
          </w:p>
        </w:tc>
        <w:tc>
          <w:tcPr>
            <w:tcW w:w="1432" w:type="pct"/>
            <w:tcBorders>
              <w:top w:val="single" w:color="auto" w:sz="4" w:space="0"/>
              <w:left w:val="single" w:color="auto" w:sz="4" w:space="0"/>
              <w:right w:val="single" w:color="auto" w:sz="4" w:space="0"/>
            </w:tcBorders>
            <w:shd w:val="clear" w:color="auto" w:fill="FFFFFF"/>
            <w:noWrap w:val="0"/>
            <w:vAlign w:val="center"/>
          </w:tcPr>
          <w:p w14:paraId="1CB63A1A">
            <w:pPr>
              <w:spacing w:line="300" w:lineRule="exact"/>
              <w:rPr>
                <w:rFonts w:hint="default"/>
                <w:color w:val="000000"/>
                <w:kern w:val="0"/>
                <w:sz w:val="21"/>
                <w:szCs w:val="21"/>
                <w:lang w:bidi="en-US"/>
              </w:rPr>
            </w:pPr>
            <w:r>
              <w:rPr>
                <w:color w:val="000000"/>
                <w:kern w:val="0"/>
                <w:sz w:val="21"/>
                <w:szCs w:val="21"/>
                <w:lang w:bidi="en-US"/>
              </w:rPr>
              <w:t>适用于600MW及以下燃煤发电机组烟气粉尘治理以及钢铁、有色金属、冶金、建材、垃圾焚烧、化工等多个行业的工业除尘。</w:t>
            </w:r>
          </w:p>
        </w:tc>
      </w:tr>
      <w:tr w14:paraId="7C92DD26">
        <w:tblPrEx>
          <w:tblCellMar>
            <w:top w:w="0" w:type="dxa"/>
            <w:left w:w="10" w:type="dxa"/>
            <w:bottom w:w="0" w:type="dxa"/>
            <w:right w:w="10" w:type="dxa"/>
          </w:tblCellMar>
        </w:tblPrEx>
        <w:trPr>
          <w:trHeight w:val="1987" w:hRule="exact"/>
          <w:jc w:val="center"/>
        </w:trPr>
        <w:tc>
          <w:tcPr>
            <w:tcW w:w="255" w:type="pct"/>
            <w:tcBorders>
              <w:top w:val="single" w:color="auto" w:sz="4" w:space="0"/>
              <w:left w:val="single" w:color="auto" w:sz="4" w:space="0"/>
            </w:tcBorders>
            <w:shd w:val="clear" w:color="auto" w:fill="FFFFFF"/>
            <w:noWrap w:val="0"/>
            <w:vAlign w:val="center"/>
          </w:tcPr>
          <w:p w14:paraId="53B26D85">
            <w:pPr>
              <w:jc w:val="center"/>
              <w:rPr>
                <w:rFonts w:hint="default"/>
                <w:color w:val="000000"/>
                <w:kern w:val="0"/>
                <w:sz w:val="21"/>
                <w:szCs w:val="21"/>
                <w:lang w:eastAsia="en-US" w:bidi="en-US"/>
              </w:rPr>
            </w:pPr>
            <w:r>
              <w:rPr>
                <w:color w:val="000000"/>
                <w:kern w:val="0"/>
                <w:sz w:val="21"/>
                <w:szCs w:val="21"/>
                <w:lang w:eastAsia="en-US" w:bidi="en-US"/>
              </w:rPr>
              <w:t>9</w:t>
            </w:r>
          </w:p>
        </w:tc>
        <w:tc>
          <w:tcPr>
            <w:tcW w:w="317" w:type="pct"/>
            <w:vMerge w:val="continue"/>
            <w:tcBorders>
              <w:left w:val="single" w:color="auto" w:sz="4" w:space="0"/>
            </w:tcBorders>
            <w:shd w:val="clear" w:color="auto" w:fill="FFFFFF"/>
            <w:noWrap w:val="0"/>
            <w:vAlign w:val="center"/>
          </w:tcPr>
          <w:p w14:paraId="1539A920">
            <w:pPr>
              <w:spacing w:line="300" w:lineRule="exact"/>
              <w:jc w:val="left"/>
              <w:rPr>
                <w:rFonts w:hint="default"/>
                <w:color w:val="000000"/>
                <w:kern w:val="0"/>
                <w:sz w:val="21"/>
                <w:szCs w:val="21"/>
                <w:lang w:eastAsia="en-US" w:bidi="en-US"/>
              </w:rPr>
            </w:pPr>
          </w:p>
        </w:tc>
        <w:tc>
          <w:tcPr>
            <w:tcW w:w="516" w:type="pct"/>
            <w:tcBorders>
              <w:top w:val="single" w:color="auto" w:sz="4" w:space="0"/>
              <w:left w:val="single" w:color="auto" w:sz="4" w:space="0"/>
            </w:tcBorders>
            <w:shd w:val="clear" w:color="auto" w:fill="FFFFFF"/>
            <w:noWrap w:val="0"/>
            <w:vAlign w:val="center"/>
          </w:tcPr>
          <w:p w14:paraId="4B49F518">
            <w:pPr>
              <w:spacing w:line="300" w:lineRule="exact"/>
              <w:jc w:val="center"/>
              <w:rPr>
                <w:rFonts w:hint="default"/>
                <w:color w:val="000000"/>
                <w:kern w:val="0"/>
                <w:sz w:val="21"/>
                <w:szCs w:val="21"/>
                <w:lang w:eastAsia="en-US" w:bidi="en-US"/>
              </w:rPr>
            </w:pPr>
            <w:r>
              <w:rPr>
                <w:color w:val="000000"/>
                <w:kern w:val="0"/>
                <w:sz w:val="21"/>
                <w:szCs w:val="21"/>
                <w:lang w:eastAsia="en-US" w:bidi="en-US"/>
              </w:rPr>
              <w:t>袋式除尘器</w:t>
            </w:r>
          </w:p>
        </w:tc>
        <w:tc>
          <w:tcPr>
            <w:tcW w:w="1332" w:type="pct"/>
            <w:tcBorders>
              <w:top w:val="single" w:color="auto" w:sz="4" w:space="0"/>
              <w:left w:val="single" w:color="auto" w:sz="4" w:space="0"/>
            </w:tcBorders>
            <w:shd w:val="clear" w:color="auto" w:fill="FFFFFF"/>
            <w:noWrap w:val="0"/>
            <w:vAlign w:val="center"/>
          </w:tcPr>
          <w:p w14:paraId="54D3ACDC">
            <w:pPr>
              <w:spacing w:line="300" w:lineRule="exact"/>
              <w:rPr>
                <w:rFonts w:hint="default"/>
                <w:color w:val="000000"/>
                <w:kern w:val="0"/>
                <w:sz w:val="21"/>
                <w:szCs w:val="21"/>
                <w:lang w:bidi="en-US"/>
              </w:rPr>
            </w:pPr>
            <w:r>
              <w:rPr>
                <w:color w:val="000000"/>
                <w:kern w:val="0"/>
                <w:sz w:val="21"/>
                <w:szCs w:val="21"/>
                <w:lang w:bidi="en-US"/>
              </w:rPr>
              <w:t>外壳结构件、进出口封头、气流分布装置、低压系统和集控系统、花板、滤袋、喷吹系统等。</w:t>
            </w:r>
          </w:p>
        </w:tc>
        <w:tc>
          <w:tcPr>
            <w:tcW w:w="1147" w:type="pct"/>
            <w:tcBorders>
              <w:top w:val="single" w:color="auto" w:sz="4" w:space="0"/>
              <w:left w:val="single" w:color="auto" w:sz="4" w:space="0"/>
            </w:tcBorders>
            <w:shd w:val="clear" w:color="auto" w:fill="FFFFFF"/>
            <w:noWrap w:val="0"/>
            <w:vAlign w:val="center"/>
          </w:tcPr>
          <w:p w14:paraId="44845DD5">
            <w:pPr>
              <w:spacing w:line="300" w:lineRule="exact"/>
              <w:jc w:val="left"/>
              <w:rPr>
                <w:rFonts w:hint="default"/>
                <w:color w:val="000000"/>
                <w:kern w:val="0"/>
                <w:sz w:val="21"/>
                <w:szCs w:val="21"/>
                <w:lang w:bidi="en-US"/>
              </w:rPr>
            </w:pPr>
            <w:r>
              <w:rPr>
                <w:color w:val="000000"/>
                <w:kern w:val="0"/>
                <w:sz w:val="21"/>
                <w:szCs w:val="21"/>
                <w:lang w:bidi="en-US"/>
              </w:rPr>
              <w:t>烟尘捕集效率＞99.8%，设备阻力＜1200Pa，过滤速度＞1.0m/min，滤袋寿命＞3年，烟尘排放浓度低于20mg/Nm</w:t>
            </w:r>
            <w:r>
              <w:rPr>
                <w:color w:val="000000"/>
                <w:kern w:val="0"/>
                <w:sz w:val="21"/>
                <w:szCs w:val="21"/>
                <w:vertAlign w:val="superscript"/>
                <w:lang w:bidi="en-US"/>
              </w:rPr>
              <w:t>3</w:t>
            </w:r>
            <w:r>
              <w:rPr>
                <w:color w:val="000000"/>
                <w:kern w:val="0"/>
                <w:sz w:val="21"/>
                <w:szCs w:val="21"/>
                <w:lang w:bidi="en-US"/>
              </w:rPr>
              <w:t>。</w:t>
            </w:r>
          </w:p>
        </w:tc>
        <w:tc>
          <w:tcPr>
            <w:tcW w:w="1432" w:type="pct"/>
            <w:tcBorders>
              <w:top w:val="single" w:color="auto" w:sz="4" w:space="0"/>
              <w:left w:val="single" w:color="auto" w:sz="4" w:space="0"/>
              <w:right w:val="single" w:color="auto" w:sz="4" w:space="0"/>
            </w:tcBorders>
            <w:shd w:val="clear" w:color="auto" w:fill="FFFFFF"/>
            <w:noWrap w:val="0"/>
            <w:vAlign w:val="center"/>
          </w:tcPr>
          <w:p w14:paraId="57D15835">
            <w:pPr>
              <w:spacing w:line="300" w:lineRule="exact"/>
              <w:rPr>
                <w:rFonts w:hint="default"/>
                <w:color w:val="000000"/>
                <w:kern w:val="0"/>
                <w:sz w:val="21"/>
                <w:szCs w:val="21"/>
                <w:lang w:bidi="en-US"/>
              </w:rPr>
            </w:pPr>
            <w:r>
              <w:rPr>
                <w:color w:val="000000"/>
                <w:kern w:val="0"/>
                <w:sz w:val="21"/>
                <w:szCs w:val="21"/>
                <w:lang w:bidi="en-US"/>
              </w:rPr>
              <w:t>适用于600MW及以下燃煤发电机组烟气粉尘治理以及钢铁、有色金属、冶金、建</w:t>
            </w:r>
          </w:p>
          <w:p w14:paraId="547A7F69">
            <w:pPr>
              <w:spacing w:line="300" w:lineRule="exact"/>
              <w:rPr>
                <w:rFonts w:hint="default"/>
                <w:color w:val="000000"/>
                <w:kern w:val="0"/>
                <w:sz w:val="21"/>
                <w:szCs w:val="21"/>
                <w:lang w:bidi="en-US"/>
              </w:rPr>
            </w:pPr>
            <w:r>
              <w:rPr>
                <w:color w:val="000000"/>
                <w:kern w:val="0"/>
                <w:sz w:val="21"/>
                <w:szCs w:val="21"/>
                <w:lang w:bidi="en-US"/>
              </w:rPr>
              <w:t>材、垃圾焚烧、化工等多个行业的工业除尘。</w:t>
            </w:r>
          </w:p>
        </w:tc>
      </w:tr>
      <w:tr w14:paraId="17A518CE">
        <w:tblPrEx>
          <w:tblCellMar>
            <w:top w:w="0" w:type="dxa"/>
            <w:left w:w="10" w:type="dxa"/>
            <w:bottom w:w="0" w:type="dxa"/>
            <w:right w:w="10" w:type="dxa"/>
          </w:tblCellMar>
        </w:tblPrEx>
        <w:trPr>
          <w:trHeight w:val="1831" w:hRule="exact"/>
          <w:jc w:val="center"/>
        </w:trPr>
        <w:tc>
          <w:tcPr>
            <w:tcW w:w="255" w:type="pct"/>
            <w:tcBorders>
              <w:top w:val="single" w:color="auto" w:sz="4" w:space="0"/>
              <w:left w:val="single" w:color="auto" w:sz="4" w:space="0"/>
            </w:tcBorders>
            <w:shd w:val="clear" w:color="auto" w:fill="FFFFFF"/>
            <w:noWrap w:val="0"/>
            <w:vAlign w:val="center"/>
          </w:tcPr>
          <w:p w14:paraId="3DF94117">
            <w:pPr>
              <w:jc w:val="center"/>
              <w:rPr>
                <w:rFonts w:hint="default"/>
                <w:color w:val="000000"/>
                <w:kern w:val="0"/>
                <w:sz w:val="21"/>
                <w:szCs w:val="21"/>
                <w:lang w:eastAsia="en-US" w:bidi="en-US"/>
              </w:rPr>
            </w:pPr>
            <w:r>
              <w:rPr>
                <w:color w:val="000000"/>
                <w:kern w:val="0"/>
                <w:sz w:val="21"/>
                <w:szCs w:val="21"/>
                <w:lang w:eastAsia="en-US" w:bidi="en-US"/>
              </w:rPr>
              <w:t>10</w:t>
            </w:r>
          </w:p>
        </w:tc>
        <w:tc>
          <w:tcPr>
            <w:tcW w:w="317" w:type="pct"/>
            <w:vMerge w:val="restart"/>
            <w:tcBorders>
              <w:top w:val="single" w:color="auto" w:sz="4" w:space="0"/>
              <w:left w:val="single" w:color="auto" w:sz="4" w:space="0"/>
            </w:tcBorders>
            <w:shd w:val="clear" w:color="auto" w:fill="FFFFFF"/>
            <w:noWrap w:val="0"/>
            <w:vAlign w:val="center"/>
          </w:tcPr>
          <w:p w14:paraId="15FEB217">
            <w:pPr>
              <w:spacing w:line="300" w:lineRule="exact"/>
              <w:jc w:val="center"/>
              <w:rPr>
                <w:rFonts w:hint="default"/>
                <w:color w:val="000000"/>
                <w:kern w:val="0"/>
                <w:sz w:val="21"/>
                <w:szCs w:val="21"/>
                <w:lang w:eastAsia="en-US" w:bidi="en-US"/>
              </w:rPr>
            </w:pPr>
            <w:r>
              <w:rPr>
                <w:color w:val="000000"/>
                <w:kern w:val="0"/>
                <w:sz w:val="21"/>
                <w:szCs w:val="21"/>
                <w:lang w:eastAsia="en-US" w:bidi="en-US"/>
              </w:rPr>
              <w:t>VOCs</w:t>
            </w:r>
          </w:p>
          <w:p w14:paraId="624F5D72">
            <w:pPr>
              <w:spacing w:line="300" w:lineRule="exact"/>
              <w:jc w:val="center"/>
              <w:rPr>
                <w:rFonts w:hint="default"/>
                <w:color w:val="000000"/>
                <w:kern w:val="0"/>
                <w:sz w:val="21"/>
                <w:szCs w:val="21"/>
                <w:lang w:eastAsia="en-US" w:bidi="en-US"/>
              </w:rPr>
            </w:pPr>
            <w:r>
              <w:rPr>
                <w:color w:val="000000"/>
                <w:kern w:val="0"/>
                <w:sz w:val="21"/>
                <w:szCs w:val="21"/>
                <w:lang w:eastAsia="en-US" w:bidi="en-US"/>
              </w:rPr>
              <w:t>治理</w:t>
            </w:r>
          </w:p>
          <w:p w14:paraId="7390B677">
            <w:pPr>
              <w:spacing w:line="300" w:lineRule="exact"/>
              <w:jc w:val="center"/>
              <w:rPr>
                <w:rFonts w:hint="default"/>
                <w:color w:val="000000"/>
                <w:kern w:val="0"/>
                <w:sz w:val="21"/>
                <w:szCs w:val="21"/>
                <w:lang w:eastAsia="en-US" w:bidi="en-US"/>
              </w:rPr>
            </w:pPr>
            <w:r>
              <w:rPr>
                <w:color w:val="000000"/>
                <w:kern w:val="0"/>
                <w:sz w:val="21"/>
                <w:szCs w:val="21"/>
                <w:lang w:eastAsia="en-US" w:bidi="en-US"/>
              </w:rPr>
              <w:t>设备</w:t>
            </w:r>
          </w:p>
        </w:tc>
        <w:tc>
          <w:tcPr>
            <w:tcW w:w="516" w:type="pct"/>
            <w:tcBorders>
              <w:top w:val="single" w:color="auto" w:sz="4" w:space="0"/>
              <w:left w:val="single" w:color="auto" w:sz="4" w:space="0"/>
            </w:tcBorders>
            <w:shd w:val="clear" w:color="auto" w:fill="FFFFFF"/>
            <w:noWrap w:val="0"/>
            <w:vAlign w:val="center"/>
          </w:tcPr>
          <w:p w14:paraId="3C0FE436">
            <w:pPr>
              <w:spacing w:line="300" w:lineRule="exact"/>
              <w:jc w:val="center"/>
              <w:rPr>
                <w:rFonts w:hint="default"/>
                <w:color w:val="000000"/>
                <w:kern w:val="0"/>
                <w:sz w:val="21"/>
                <w:szCs w:val="21"/>
                <w:lang w:eastAsia="en-US" w:bidi="en-US"/>
              </w:rPr>
            </w:pPr>
            <w:r>
              <w:rPr>
                <w:color w:val="000000"/>
                <w:kern w:val="0"/>
                <w:sz w:val="21"/>
                <w:szCs w:val="21"/>
                <w:lang w:eastAsia="en-US" w:bidi="en-US"/>
              </w:rPr>
              <w:t>VOCs吸附回收装置</w:t>
            </w:r>
          </w:p>
        </w:tc>
        <w:tc>
          <w:tcPr>
            <w:tcW w:w="1332" w:type="pct"/>
            <w:tcBorders>
              <w:top w:val="single" w:color="auto" w:sz="4" w:space="0"/>
              <w:left w:val="single" w:color="auto" w:sz="4" w:space="0"/>
            </w:tcBorders>
            <w:shd w:val="clear" w:color="auto" w:fill="FFFFFF"/>
            <w:noWrap w:val="0"/>
            <w:vAlign w:val="center"/>
          </w:tcPr>
          <w:p w14:paraId="6C1ABD79">
            <w:pPr>
              <w:spacing w:line="300" w:lineRule="exact"/>
              <w:rPr>
                <w:rFonts w:hint="default"/>
                <w:color w:val="000000"/>
                <w:kern w:val="0"/>
                <w:sz w:val="21"/>
                <w:szCs w:val="21"/>
                <w:lang w:bidi="en-US"/>
              </w:rPr>
            </w:pPr>
            <w:r>
              <w:rPr>
                <w:color w:val="000000"/>
                <w:kern w:val="0"/>
                <w:sz w:val="21"/>
                <w:szCs w:val="21"/>
                <w:lang w:bidi="en-US"/>
              </w:rPr>
              <w:t>废气预处理设备、颗粒活性炭吸附设备、活性炭纤维吸附设备、分子筛吸附设备、树脂吸附设备。</w:t>
            </w:r>
          </w:p>
        </w:tc>
        <w:tc>
          <w:tcPr>
            <w:tcW w:w="1147" w:type="pct"/>
            <w:tcBorders>
              <w:top w:val="single" w:color="auto" w:sz="4" w:space="0"/>
              <w:left w:val="single" w:color="auto" w:sz="4" w:space="0"/>
            </w:tcBorders>
            <w:shd w:val="clear" w:color="auto" w:fill="FFFFFF"/>
            <w:noWrap w:val="0"/>
            <w:vAlign w:val="center"/>
          </w:tcPr>
          <w:p w14:paraId="6990BE04">
            <w:pPr>
              <w:spacing w:line="300" w:lineRule="exact"/>
              <w:jc w:val="left"/>
              <w:rPr>
                <w:rFonts w:hint="default"/>
                <w:color w:val="000000"/>
                <w:kern w:val="0"/>
                <w:sz w:val="21"/>
                <w:szCs w:val="21"/>
                <w:lang w:bidi="en-US"/>
              </w:rPr>
            </w:pPr>
            <w:r>
              <w:rPr>
                <w:color w:val="000000"/>
                <w:kern w:val="0"/>
                <w:sz w:val="21"/>
                <w:szCs w:val="21"/>
                <w:lang w:bidi="en-US"/>
              </w:rPr>
              <w:t>净化率超过90%（提供环保设备监测报告）。</w:t>
            </w:r>
          </w:p>
        </w:tc>
        <w:tc>
          <w:tcPr>
            <w:tcW w:w="1432" w:type="pct"/>
            <w:tcBorders>
              <w:top w:val="single" w:color="auto" w:sz="4" w:space="0"/>
              <w:left w:val="single" w:color="auto" w:sz="4" w:space="0"/>
              <w:right w:val="single" w:color="auto" w:sz="4" w:space="0"/>
            </w:tcBorders>
            <w:shd w:val="clear" w:color="auto" w:fill="FFFFFF"/>
            <w:noWrap w:val="0"/>
            <w:vAlign w:val="center"/>
          </w:tcPr>
          <w:p w14:paraId="6D7CFFB7">
            <w:pPr>
              <w:spacing w:line="300" w:lineRule="exact"/>
              <w:rPr>
                <w:rFonts w:hint="default"/>
                <w:color w:val="000000"/>
                <w:kern w:val="0"/>
                <w:sz w:val="21"/>
                <w:szCs w:val="21"/>
                <w:lang w:bidi="en-US"/>
              </w:rPr>
            </w:pPr>
            <w:r>
              <w:rPr>
                <w:color w:val="000000"/>
                <w:kern w:val="0"/>
                <w:sz w:val="21"/>
                <w:szCs w:val="21"/>
                <w:lang w:bidi="en-US"/>
              </w:rPr>
              <w:t>适用于喷涂、石油、化工、包装印刷、油气回收、涂布、制革等行业。</w:t>
            </w:r>
          </w:p>
        </w:tc>
      </w:tr>
      <w:tr w14:paraId="1425C983">
        <w:tblPrEx>
          <w:tblCellMar>
            <w:top w:w="0" w:type="dxa"/>
            <w:left w:w="10" w:type="dxa"/>
            <w:bottom w:w="0" w:type="dxa"/>
            <w:right w:w="10" w:type="dxa"/>
          </w:tblCellMar>
        </w:tblPrEx>
        <w:trPr>
          <w:trHeight w:val="1985" w:hRule="exact"/>
          <w:jc w:val="center"/>
        </w:trPr>
        <w:tc>
          <w:tcPr>
            <w:tcW w:w="255" w:type="pct"/>
            <w:tcBorders>
              <w:top w:val="single" w:color="auto" w:sz="4" w:space="0"/>
              <w:left w:val="single" w:color="auto" w:sz="4" w:space="0"/>
              <w:bottom w:val="single" w:color="auto" w:sz="4" w:space="0"/>
            </w:tcBorders>
            <w:shd w:val="clear" w:color="auto" w:fill="FFFFFF"/>
            <w:noWrap w:val="0"/>
            <w:vAlign w:val="center"/>
          </w:tcPr>
          <w:p w14:paraId="7EFEE480">
            <w:pPr>
              <w:jc w:val="center"/>
              <w:rPr>
                <w:rFonts w:hint="default"/>
                <w:color w:val="000000"/>
                <w:kern w:val="0"/>
                <w:sz w:val="21"/>
                <w:szCs w:val="21"/>
                <w:lang w:eastAsia="en-US" w:bidi="en-US"/>
              </w:rPr>
            </w:pPr>
            <w:r>
              <w:rPr>
                <w:color w:val="000000"/>
                <w:kern w:val="0"/>
                <w:sz w:val="21"/>
                <w:szCs w:val="21"/>
                <w:lang w:eastAsia="en-US" w:bidi="en-US"/>
              </w:rPr>
              <w:t>11</w:t>
            </w:r>
          </w:p>
        </w:tc>
        <w:tc>
          <w:tcPr>
            <w:tcW w:w="317" w:type="pct"/>
            <w:vMerge w:val="continue"/>
            <w:tcBorders>
              <w:left w:val="single" w:color="auto" w:sz="4" w:space="0"/>
              <w:bottom w:val="single" w:color="auto" w:sz="4" w:space="0"/>
            </w:tcBorders>
            <w:shd w:val="clear" w:color="auto" w:fill="FFFFFF"/>
            <w:noWrap w:val="0"/>
            <w:vAlign w:val="center"/>
          </w:tcPr>
          <w:p w14:paraId="29FD2695">
            <w:pPr>
              <w:spacing w:line="300" w:lineRule="exact"/>
              <w:jc w:val="left"/>
              <w:rPr>
                <w:rFonts w:hint="default"/>
                <w:color w:val="000000"/>
                <w:kern w:val="0"/>
                <w:sz w:val="21"/>
                <w:szCs w:val="21"/>
                <w:lang w:eastAsia="en-US" w:bidi="en-US"/>
              </w:rPr>
            </w:pPr>
          </w:p>
        </w:tc>
        <w:tc>
          <w:tcPr>
            <w:tcW w:w="516" w:type="pct"/>
            <w:tcBorders>
              <w:top w:val="single" w:color="auto" w:sz="4" w:space="0"/>
              <w:left w:val="single" w:color="auto" w:sz="4" w:space="0"/>
              <w:bottom w:val="single" w:color="auto" w:sz="4" w:space="0"/>
            </w:tcBorders>
            <w:shd w:val="clear" w:color="auto" w:fill="FFFFFF"/>
            <w:noWrap w:val="0"/>
            <w:vAlign w:val="center"/>
          </w:tcPr>
          <w:p w14:paraId="0BCEF688">
            <w:pPr>
              <w:spacing w:line="300" w:lineRule="exact"/>
              <w:jc w:val="center"/>
              <w:rPr>
                <w:rFonts w:hint="default"/>
                <w:color w:val="000000"/>
                <w:kern w:val="0"/>
                <w:sz w:val="21"/>
                <w:szCs w:val="21"/>
                <w:lang w:bidi="en-US"/>
              </w:rPr>
            </w:pPr>
            <w:r>
              <w:rPr>
                <w:color w:val="000000"/>
                <w:kern w:val="0"/>
                <w:sz w:val="21"/>
                <w:szCs w:val="21"/>
                <w:lang w:bidi="en-US"/>
              </w:rPr>
              <w:t>VOCs吸附浓缩-燃烧装置</w:t>
            </w:r>
          </w:p>
        </w:tc>
        <w:tc>
          <w:tcPr>
            <w:tcW w:w="1332" w:type="pct"/>
            <w:tcBorders>
              <w:top w:val="single" w:color="auto" w:sz="4" w:space="0"/>
              <w:left w:val="single" w:color="auto" w:sz="4" w:space="0"/>
              <w:bottom w:val="single" w:color="auto" w:sz="4" w:space="0"/>
            </w:tcBorders>
            <w:shd w:val="clear" w:color="auto" w:fill="FFFFFF"/>
            <w:noWrap w:val="0"/>
            <w:vAlign w:val="center"/>
          </w:tcPr>
          <w:p w14:paraId="471DA96F">
            <w:pPr>
              <w:spacing w:line="300" w:lineRule="exact"/>
              <w:rPr>
                <w:rFonts w:hint="default"/>
                <w:color w:val="000000"/>
                <w:kern w:val="0"/>
                <w:sz w:val="21"/>
                <w:szCs w:val="21"/>
                <w:lang w:bidi="en-US"/>
              </w:rPr>
            </w:pPr>
            <w:r>
              <w:rPr>
                <w:color w:val="000000"/>
                <w:kern w:val="0"/>
                <w:sz w:val="21"/>
                <w:szCs w:val="21"/>
                <w:lang w:bidi="en-US"/>
              </w:rPr>
              <w:t>废气预处理设备、吸附浓缩-催化燃烧设备、吸附浓缩-热力燃烧设备。</w:t>
            </w:r>
          </w:p>
        </w:tc>
        <w:tc>
          <w:tcPr>
            <w:tcW w:w="1147" w:type="pct"/>
            <w:tcBorders>
              <w:top w:val="single" w:color="auto" w:sz="4" w:space="0"/>
              <w:left w:val="single" w:color="auto" w:sz="4" w:space="0"/>
              <w:bottom w:val="single" w:color="auto" w:sz="4" w:space="0"/>
            </w:tcBorders>
            <w:shd w:val="clear" w:color="auto" w:fill="FFFFFF"/>
            <w:noWrap w:val="0"/>
            <w:vAlign w:val="center"/>
          </w:tcPr>
          <w:p w14:paraId="414EB121">
            <w:pPr>
              <w:spacing w:line="300" w:lineRule="exact"/>
              <w:jc w:val="left"/>
              <w:rPr>
                <w:rFonts w:hint="default"/>
                <w:color w:val="000000"/>
                <w:kern w:val="0"/>
                <w:sz w:val="21"/>
                <w:szCs w:val="21"/>
                <w:lang w:bidi="en-US"/>
              </w:rPr>
            </w:pPr>
            <w:r>
              <w:rPr>
                <w:color w:val="000000"/>
                <w:kern w:val="0"/>
                <w:sz w:val="21"/>
                <w:szCs w:val="21"/>
                <w:lang w:bidi="en-US"/>
              </w:rPr>
              <w:t>吸附净化效率超过90%，燃烧净化效率超过95%，同时达到环保排放标准要求（提供环保设备监测报告）。</w:t>
            </w:r>
          </w:p>
        </w:tc>
        <w:tc>
          <w:tcPr>
            <w:tcW w:w="1432"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2B7B179B">
            <w:pPr>
              <w:spacing w:line="300" w:lineRule="exact"/>
              <w:rPr>
                <w:rFonts w:hint="default"/>
                <w:color w:val="000000"/>
                <w:kern w:val="0"/>
                <w:sz w:val="21"/>
                <w:szCs w:val="21"/>
                <w:lang w:bidi="en-US"/>
              </w:rPr>
            </w:pPr>
            <w:r>
              <w:rPr>
                <w:color w:val="000000"/>
                <w:kern w:val="0"/>
                <w:sz w:val="21"/>
                <w:szCs w:val="21"/>
                <w:lang w:bidi="en-US"/>
              </w:rPr>
              <w:t>适用于喷涂（集装箱、家具、汽车、机械设备制造、家电、造船等）包装印刷、化工、电子、制药等。</w:t>
            </w:r>
          </w:p>
        </w:tc>
      </w:tr>
    </w:tbl>
    <w:p w14:paraId="638C95B5">
      <w:pPr>
        <w:spacing w:line="1" w:lineRule="exact"/>
        <w:jc w:val="left"/>
        <w:rPr>
          <w:rFonts w:hint="default"/>
          <w:color w:val="000000"/>
          <w:kern w:val="0"/>
          <w:sz w:val="21"/>
          <w:szCs w:val="21"/>
          <w:lang w:bidi="en-US"/>
        </w:rPr>
      </w:pPr>
      <w:r>
        <w:rPr>
          <w:color w:val="000000"/>
          <w:kern w:val="0"/>
          <w:sz w:val="21"/>
          <w:szCs w:val="21"/>
          <w:lang w:bidi="en-US"/>
        </w:rPr>
        <w:br w:type="page"/>
      </w:r>
    </w:p>
    <w:tbl>
      <w:tblPr>
        <w:tblStyle w:val="3"/>
        <w:tblW w:w="4998" w:type="pct"/>
        <w:jc w:val="center"/>
        <w:tblLayout w:type="autofit"/>
        <w:tblCellMar>
          <w:top w:w="0" w:type="dxa"/>
          <w:left w:w="10" w:type="dxa"/>
          <w:bottom w:w="0" w:type="dxa"/>
          <w:right w:w="10" w:type="dxa"/>
        </w:tblCellMar>
      </w:tblPr>
      <w:tblGrid>
        <w:gridCol w:w="413"/>
        <w:gridCol w:w="585"/>
        <w:gridCol w:w="847"/>
        <w:gridCol w:w="2206"/>
        <w:gridCol w:w="1898"/>
        <w:gridCol w:w="2373"/>
      </w:tblGrid>
      <w:tr w14:paraId="13439568">
        <w:tblPrEx>
          <w:tblCellMar>
            <w:top w:w="0" w:type="dxa"/>
            <w:left w:w="10" w:type="dxa"/>
            <w:bottom w:w="0" w:type="dxa"/>
            <w:right w:w="10" w:type="dxa"/>
          </w:tblCellMar>
        </w:tblPrEx>
        <w:trPr>
          <w:trHeight w:val="451" w:hRule="exact"/>
          <w:jc w:val="center"/>
        </w:trPr>
        <w:tc>
          <w:tcPr>
            <w:tcW w:w="255" w:type="pct"/>
            <w:tcBorders>
              <w:top w:val="single" w:color="auto" w:sz="4" w:space="0"/>
              <w:left w:val="single" w:color="auto" w:sz="4" w:space="0"/>
            </w:tcBorders>
            <w:shd w:val="clear" w:color="auto" w:fill="FFFFFF"/>
            <w:noWrap w:val="0"/>
            <w:vAlign w:val="center"/>
          </w:tcPr>
          <w:p w14:paraId="593DD006">
            <w:pPr>
              <w:jc w:val="center"/>
              <w:rPr>
                <w:rFonts w:hint="default"/>
                <w:color w:val="000000"/>
                <w:kern w:val="0"/>
                <w:sz w:val="21"/>
                <w:szCs w:val="21"/>
                <w:lang w:eastAsia="en-US" w:bidi="en-US"/>
              </w:rPr>
            </w:pPr>
            <w:r>
              <w:rPr>
                <w:b/>
                <w:bCs/>
                <w:color w:val="000000"/>
                <w:kern w:val="0"/>
                <w:sz w:val="21"/>
                <w:szCs w:val="21"/>
                <w:lang w:eastAsia="en-US" w:bidi="en-US"/>
              </w:rPr>
              <w:t>序号</w:t>
            </w:r>
          </w:p>
        </w:tc>
        <w:tc>
          <w:tcPr>
            <w:tcW w:w="833" w:type="pct"/>
            <w:gridSpan w:val="2"/>
            <w:tcBorders>
              <w:top w:val="single" w:color="auto" w:sz="4" w:space="0"/>
              <w:left w:val="single" w:color="auto" w:sz="4" w:space="0"/>
            </w:tcBorders>
            <w:shd w:val="clear" w:color="auto" w:fill="FFFFFF"/>
            <w:noWrap w:val="0"/>
            <w:vAlign w:val="center"/>
          </w:tcPr>
          <w:p w14:paraId="1E520E78">
            <w:pPr>
              <w:jc w:val="center"/>
              <w:rPr>
                <w:rFonts w:hint="default"/>
                <w:color w:val="000000"/>
                <w:kern w:val="0"/>
                <w:sz w:val="21"/>
                <w:szCs w:val="21"/>
                <w:lang w:eastAsia="en-US" w:bidi="en-US"/>
              </w:rPr>
            </w:pPr>
            <w:r>
              <w:rPr>
                <w:b/>
                <w:bCs/>
                <w:color w:val="000000"/>
                <w:kern w:val="0"/>
                <w:sz w:val="21"/>
                <w:szCs w:val="21"/>
                <w:lang w:eastAsia="en-US" w:bidi="en-US"/>
              </w:rPr>
              <w:t>设备名称</w:t>
            </w:r>
          </w:p>
        </w:tc>
        <w:tc>
          <w:tcPr>
            <w:tcW w:w="1332" w:type="pct"/>
            <w:tcBorders>
              <w:top w:val="single" w:color="auto" w:sz="4" w:space="0"/>
              <w:left w:val="single" w:color="auto" w:sz="4" w:space="0"/>
            </w:tcBorders>
            <w:shd w:val="clear" w:color="auto" w:fill="FFFFFF"/>
            <w:noWrap w:val="0"/>
            <w:vAlign w:val="center"/>
          </w:tcPr>
          <w:p w14:paraId="4B28D462">
            <w:pPr>
              <w:jc w:val="center"/>
              <w:rPr>
                <w:rFonts w:hint="default"/>
                <w:color w:val="000000"/>
                <w:kern w:val="0"/>
                <w:sz w:val="21"/>
                <w:szCs w:val="21"/>
                <w:lang w:eastAsia="en-US" w:bidi="en-US"/>
              </w:rPr>
            </w:pPr>
            <w:r>
              <w:rPr>
                <w:b/>
                <w:bCs/>
                <w:color w:val="000000"/>
                <w:kern w:val="0"/>
                <w:sz w:val="21"/>
                <w:szCs w:val="21"/>
                <w:lang w:eastAsia="en-US" w:bidi="en-US"/>
              </w:rPr>
              <w:t>关键设备</w:t>
            </w:r>
          </w:p>
        </w:tc>
        <w:tc>
          <w:tcPr>
            <w:tcW w:w="1147" w:type="pct"/>
            <w:tcBorders>
              <w:top w:val="single" w:color="auto" w:sz="4" w:space="0"/>
              <w:left w:val="single" w:color="auto" w:sz="4" w:space="0"/>
            </w:tcBorders>
            <w:shd w:val="clear" w:color="auto" w:fill="FFFFFF"/>
            <w:noWrap w:val="0"/>
            <w:vAlign w:val="center"/>
          </w:tcPr>
          <w:p w14:paraId="1A79B909">
            <w:pPr>
              <w:jc w:val="center"/>
              <w:rPr>
                <w:rFonts w:hint="default"/>
                <w:color w:val="000000"/>
                <w:kern w:val="0"/>
                <w:sz w:val="21"/>
                <w:szCs w:val="21"/>
                <w:lang w:eastAsia="en-US" w:bidi="en-US"/>
              </w:rPr>
            </w:pPr>
            <w:r>
              <w:rPr>
                <w:b/>
                <w:bCs/>
                <w:color w:val="000000"/>
                <w:kern w:val="0"/>
                <w:sz w:val="21"/>
                <w:szCs w:val="21"/>
                <w:lang w:eastAsia="en-US" w:bidi="en-US"/>
              </w:rPr>
              <w:t>性能参数</w:t>
            </w:r>
          </w:p>
        </w:tc>
        <w:tc>
          <w:tcPr>
            <w:tcW w:w="1432" w:type="pct"/>
            <w:tcBorders>
              <w:top w:val="single" w:color="auto" w:sz="4" w:space="0"/>
              <w:left w:val="single" w:color="auto" w:sz="4" w:space="0"/>
              <w:right w:val="single" w:color="auto" w:sz="4" w:space="0"/>
            </w:tcBorders>
            <w:shd w:val="clear" w:color="auto" w:fill="FFFFFF"/>
            <w:noWrap w:val="0"/>
            <w:vAlign w:val="center"/>
          </w:tcPr>
          <w:p w14:paraId="2BB64A7A">
            <w:pPr>
              <w:jc w:val="center"/>
              <w:rPr>
                <w:rFonts w:hint="default"/>
                <w:color w:val="000000"/>
                <w:kern w:val="0"/>
                <w:sz w:val="21"/>
                <w:szCs w:val="21"/>
                <w:lang w:eastAsia="en-US" w:bidi="en-US"/>
              </w:rPr>
            </w:pPr>
            <w:r>
              <w:rPr>
                <w:b/>
                <w:bCs/>
                <w:color w:val="000000"/>
                <w:kern w:val="0"/>
                <w:sz w:val="21"/>
                <w:szCs w:val="21"/>
                <w:lang w:eastAsia="en-US" w:bidi="en-US"/>
              </w:rPr>
              <w:t>应用领域</w:t>
            </w:r>
          </w:p>
        </w:tc>
      </w:tr>
      <w:tr w14:paraId="634C0CF7">
        <w:tblPrEx>
          <w:tblCellMar>
            <w:top w:w="0" w:type="dxa"/>
            <w:left w:w="10" w:type="dxa"/>
            <w:bottom w:w="0" w:type="dxa"/>
            <w:right w:w="10" w:type="dxa"/>
          </w:tblCellMar>
        </w:tblPrEx>
        <w:trPr>
          <w:trHeight w:val="1831" w:hRule="exact"/>
          <w:jc w:val="center"/>
        </w:trPr>
        <w:tc>
          <w:tcPr>
            <w:tcW w:w="255" w:type="pct"/>
            <w:tcBorders>
              <w:top w:val="single" w:color="auto" w:sz="4" w:space="0"/>
              <w:left w:val="single" w:color="auto" w:sz="4" w:space="0"/>
            </w:tcBorders>
            <w:shd w:val="clear" w:color="auto" w:fill="FFFFFF"/>
            <w:noWrap w:val="0"/>
            <w:vAlign w:val="center"/>
          </w:tcPr>
          <w:p w14:paraId="0D2340F0">
            <w:pPr>
              <w:spacing w:line="300" w:lineRule="exact"/>
              <w:jc w:val="center"/>
              <w:rPr>
                <w:rFonts w:hint="default"/>
                <w:color w:val="000000"/>
                <w:kern w:val="0"/>
                <w:sz w:val="21"/>
                <w:szCs w:val="21"/>
                <w:lang w:eastAsia="en-US" w:bidi="en-US"/>
              </w:rPr>
            </w:pPr>
            <w:r>
              <w:rPr>
                <w:color w:val="000000"/>
                <w:kern w:val="0"/>
                <w:sz w:val="21"/>
                <w:szCs w:val="21"/>
                <w:lang w:eastAsia="en-US" w:bidi="en-US"/>
              </w:rPr>
              <w:t>12</w:t>
            </w:r>
          </w:p>
        </w:tc>
        <w:tc>
          <w:tcPr>
            <w:tcW w:w="317" w:type="pct"/>
            <w:vMerge w:val="restart"/>
            <w:tcBorders>
              <w:top w:val="single" w:color="auto" w:sz="4" w:space="0"/>
              <w:left w:val="single" w:color="auto" w:sz="4" w:space="0"/>
            </w:tcBorders>
            <w:shd w:val="clear" w:color="auto" w:fill="FFFFFF"/>
            <w:noWrap w:val="0"/>
            <w:vAlign w:val="center"/>
          </w:tcPr>
          <w:p w14:paraId="254D2DD9">
            <w:pPr>
              <w:spacing w:line="300" w:lineRule="exact"/>
              <w:jc w:val="center"/>
              <w:rPr>
                <w:rFonts w:hint="default"/>
                <w:color w:val="000000"/>
                <w:kern w:val="0"/>
                <w:sz w:val="21"/>
                <w:szCs w:val="21"/>
                <w:lang w:eastAsia="en-US" w:bidi="en-US"/>
              </w:rPr>
            </w:pPr>
            <w:r>
              <w:rPr>
                <w:color w:val="000000"/>
                <w:kern w:val="0"/>
                <w:sz w:val="21"/>
                <w:szCs w:val="21"/>
                <w:lang w:eastAsia="en-US" w:bidi="en-US"/>
              </w:rPr>
              <w:t>VOCs</w:t>
            </w:r>
          </w:p>
          <w:p w14:paraId="209333D5">
            <w:pPr>
              <w:spacing w:line="300" w:lineRule="exact"/>
              <w:jc w:val="center"/>
              <w:rPr>
                <w:rFonts w:hint="default"/>
                <w:color w:val="000000"/>
                <w:kern w:val="0"/>
                <w:sz w:val="21"/>
                <w:szCs w:val="21"/>
                <w:lang w:eastAsia="en-US" w:bidi="en-US"/>
              </w:rPr>
            </w:pPr>
            <w:r>
              <w:rPr>
                <w:color w:val="000000"/>
                <w:kern w:val="0"/>
                <w:sz w:val="21"/>
                <w:szCs w:val="21"/>
                <w:lang w:eastAsia="en-US" w:bidi="en-US"/>
              </w:rPr>
              <w:t>治理</w:t>
            </w:r>
          </w:p>
          <w:p w14:paraId="2B7EEFF7">
            <w:pPr>
              <w:spacing w:line="300" w:lineRule="exact"/>
              <w:jc w:val="center"/>
              <w:rPr>
                <w:rFonts w:hint="default"/>
                <w:color w:val="000000"/>
                <w:kern w:val="0"/>
                <w:sz w:val="21"/>
                <w:szCs w:val="21"/>
                <w:lang w:eastAsia="en-US" w:bidi="en-US"/>
              </w:rPr>
            </w:pPr>
            <w:r>
              <w:rPr>
                <w:color w:val="000000"/>
                <w:kern w:val="0"/>
                <w:sz w:val="21"/>
                <w:szCs w:val="21"/>
                <w:lang w:eastAsia="en-US" w:bidi="en-US"/>
              </w:rPr>
              <w:t>设备</w:t>
            </w:r>
          </w:p>
        </w:tc>
        <w:tc>
          <w:tcPr>
            <w:tcW w:w="516" w:type="pct"/>
            <w:tcBorders>
              <w:top w:val="single" w:color="auto" w:sz="4" w:space="0"/>
              <w:left w:val="single" w:color="auto" w:sz="4" w:space="0"/>
            </w:tcBorders>
            <w:shd w:val="clear" w:color="auto" w:fill="FFFFFF"/>
            <w:noWrap w:val="0"/>
            <w:vAlign w:val="center"/>
          </w:tcPr>
          <w:p w14:paraId="0A905BC0">
            <w:pPr>
              <w:spacing w:line="300" w:lineRule="exact"/>
              <w:jc w:val="center"/>
              <w:rPr>
                <w:rFonts w:hint="default"/>
                <w:color w:val="000000"/>
                <w:kern w:val="0"/>
                <w:sz w:val="21"/>
                <w:szCs w:val="21"/>
                <w:lang w:eastAsia="en-US" w:bidi="en-US"/>
              </w:rPr>
            </w:pPr>
            <w:r>
              <w:rPr>
                <w:color w:val="000000"/>
                <w:kern w:val="0"/>
                <w:sz w:val="21"/>
                <w:szCs w:val="21"/>
                <w:lang w:eastAsia="en-US" w:bidi="en-US"/>
              </w:rPr>
              <w:t>VOCs燃烧装置</w:t>
            </w:r>
          </w:p>
        </w:tc>
        <w:tc>
          <w:tcPr>
            <w:tcW w:w="1332" w:type="pct"/>
            <w:tcBorders>
              <w:top w:val="single" w:color="auto" w:sz="4" w:space="0"/>
              <w:left w:val="single" w:color="auto" w:sz="4" w:space="0"/>
            </w:tcBorders>
            <w:shd w:val="clear" w:color="auto" w:fill="FFFFFF"/>
            <w:noWrap w:val="0"/>
            <w:vAlign w:val="center"/>
          </w:tcPr>
          <w:p w14:paraId="3B294877">
            <w:pPr>
              <w:spacing w:line="300" w:lineRule="exact"/>
              <w:jc w:val="left"/>
              <w:rPr>
                <w:rFonts w:hint="default"/>
                <w:color w:val="000000"/>
                <w:kern w:val="0"/>
                <w:sz w:val="21"/>
                <w:szCs w:val="21"/>
                <w:lang w:bidi="en-US"/>
              </w:rPr>
            </w:pPr>
            <w:r>
              <w:rPr>
                <w:color w:val="000000"/>
                <w:kern w:val="0"/>
                <w:sz w:val="21"/>
                <w:szCs w:val="21"/>
                <w:lang w:bidi="en-US"/>
              </w:rPr>
              <w:t>废气预处理设备、催化燃烧设备、热力燃烧设备。</w:t>
            </w:r>
          </w:p>
        </w:tc>
        <w:tc>
          <w:tcPr>
            <w:tcW w:w="1147" w:type="pct"/>
            <w:tcBorders>
              <w:top w:val="single" w:color="auto" w:sz="4" w:space="0"/>
              <w:left w:val="single" w:color="auto" w:sz="4" w:space="0"/>
            </w:tcBorders>
            <w:shd w:val="clear" w:color="auto" w:fill="FFFFFF"/>
            <w:noWrap w:val="0"/>
            <w:vAlign w:val="center"/>
          </w:tcPr>
          <w:p w14:paraId="40817C34">
            <w:pPr>
              <w:spacing w:line="300" w:lineRule="exact"/>
              <w:rPr>
                <w:rFonts w:hint="default"/>
                <w:color w:val="000000"/>
                <w:kern w:val="0"/>
                <w:sz w:val="21"/>
                <w:szCs w:val="21"/>
                <w:lang w:bidi="en-US"/>
              </w:rPr>
            </w:pPr>
            <w:r>
              <w:rPr>
                <w:color w:val="000000"/>
                <w:kern w:val="0"/>
                <w:sz w:val="21"/>
                <w:szCs w:val="21"/>
                <w:lang w:bidi="en-US"/>
              </w:rPr>
              <w:t>燃烧净化效率超过95%，达到环保排放标准要求（提供环保设备监测报告）。</w:t>
            </w:r>
          </w:p>
        </w:tc>
        <w:tc>
          <w:tcPr>
            <w:tcW w:w="1432" w:type="pct"/>
            <w:tcBorders>
              <w:top w:val="single" w:color="auto" w:sz="4" w:space="0"/>
              <w:left w:val="single" w:color="auto" w:sz="4" w:space="0"/>
              <w:right w:val="single" w:color="auto" w:sz="4" w:space="0"/>
            </w:tcBorders>
            <w:shd w:val="clear" w:color="auto" w:fill="FFFFFF"/>
            <w:noWrap w:val="0"/>
            <w:vAlign w:val="center"/>
          </w:tcPr>
          <w:p w14:paraId="5F89B572">
            <w:pPr>
              <w:spacing w:line="300" w:lineRule="exact"/>
              <w:rPr>
                <w:rFonts w:hint="default"/>
                <w:color w:val="000000"/>
                <w:kern w:val="0"/>
                <w:sz w:val="21"/>
                <w:szCs w:val="21"/>
                <w:lang w:bidi="en-US"/>
              </w:rPr>
            </w:pPr>
            <w:r>
              <w:rPr>
                <w:color w:val="000000"/>
                <w:kern w:val="0"/>
                <w:sz w:val="21"/>
                <w:szCs w:val="21"/>
                <w:lang w:bidi="en-US"/>
              </w:rPr>
              <w:t>适用于石油、化工、喷涂、电线电缆、制药等。</w:t>
            </w:r>
          </w:p>
        </w:tc>
      </w:tr>
      <w:tr w14:paraId="4F929CB1">
        <w:tblPrEx>
          <w:tblCellMar>
            <w:top w:w="0" w:type="dxa"/>
            <w:left w:w="10" w:type="dxa"/>
            <w:bottom w:w="0" w:type="dxa"/>
            <w:right w:w="10" w:type="dxa"/>
          </w:tblCellMar>
        </w:tblPrEx>
        <w:trPr>
          <w:trHeight w:val="1699" w:hRule="exact"/>
          <w:jc w:val="center"/>
        </w:trPr>
        <w:tc>
          <w:tcPr>
            <w:tcW w:w="255" w:type="pct"/>
            <w:tcBorders>
              <w:top w:val="single" w:color="auto" w:sz="4" w:space="0"/>
              <w:left w:val="single" w:color="auto" w:sz="4" w:space="0"/>
            </w:tcBorders>
            <w:shd w:val="clear" w:color="auto" w:fill="FFFFFF"/>
            <w:noWrap w:val="0"/>
            <w:vAlign w:val="center"/>
          </w:tcPr>
          <w:p w14:paraId="412C1007">
            <w:pPr>
              <w:spacing w:line="300" w:lineRule="exact"/>
              <w:jc w:val="center"/>
              <w:rPr>
                <w:rFonts w:hint="default"/>
                <w:color w:val="000000"/>
                <w:kern w:val="0"/>
                <w:sz w:val="21"/>
                <w:szCs w:val="21"/>
                <w:lang w:eastAsia="en-US" w:bidi="en-US"/>
              </w:rPr>
            </w:pPr>
            <w:r>
              <w:rPr>
                <w:color w:val="000000"/>
                <w:kern w:val="0"/>
                <w:sz w:val="21"/>
                <w:szCs w:val="21"/>
                <w:lang w:eastAsia="en-US" w:bidi="en-US"/>
              </w:rPr>
              <w:t>13</w:t>
            </w:r>
          </w:p>
        </w:tc>
        <w:tc>
          <w:tcPr>
            <w:tcW w:w="317" w:type="pct"/>
            <w:vMerge w:val="continue"/>
            <w:tcBorders>
              <w:left w:val="single" w:color="auto" w:sz="4" w:space="0"/>
            </w:tcBorders>
            <w:shd w:val="clear" w:color="auto" w:fill="FFFFFF"/>
            <w:noWrap w:val="0"/>
            <w:vAlign w:val="center"/>
          </w:tcPr>
          <w:p w14:paraId="4E72D573">
            <w:pPr>
              <w:spacing w:line="300" w:lineRule="exact"/>
              <w:jc w:val="left"/>
              <w:rPr>
                <w:rFonts w:hint="default"/>
                <w:color w:val="000000"/>
                <w:kern w:val="0"/>
                <w:sz w:val="21"/>
                <w:szCs w:val="21"/>
                <w:lang w:eastAsia="en-US" w:bidi="en-US"/>
              </w:rPr>
            </w:pPr>
          </w:p>
        </w:tc>
        <w:tc>
          <w:tcPr>
            <w:tcW w:w="516" w:type="pct"/>
            <w:tcBorders>
              <w:top w:val="single" w:color="auto" w:sz="4" w:space="0"/>
              <w:left w:val="single" w:color="auto" w:sz="4" w:space="0"/>
            </w:tcBorders>
            <w:shd w:val="clear" w:color="auto" w:fill="FFFFFF"/>
            <w:noWrap w:val="0"/>
            <w:vAlign w:val="center"/>
          </w:tcPr>
          <w:p w14:paraId="566563CF">
            <w:pPr>
              <w:spacing w:line="300" w:lineRule="exact"/>
              <w:jc w:val="center"/>
              <w:rPr>
                <w:rFonts w:hint="default"/>
                <w:color w:val="000000"/>
                <w:kern w:val="0"/>
                <w:sz w:val="21"/>
                <w:szCs w:val="21"/>
                <w:lang w:bidi="en-US"/>
              </w:rPr>
            </w:pPr>
            <w:r>
              <w:rPr>
                <w:color w:val="000000"/>
                <w:kern w:val="0"/>
                <w:sz w:val="21"/>
                <w:szCs w:val="21"/>
                <w:lang w:bidi="en-US"/>
              </w:rPr>
              <w:t>VOCs低温等离子体净化装置</w:t>
            </w:r>
          </w:p>
        </w:tc>
        <w:tc>
          <w:tcPr>
            <w:tcW w:w="1332" w:type="pct"/>
            <w:tcBorders>
              <w:top w:val="single" w:color="auto" w:sz="4" w:space="0"/>
              <w:left w:val="single" w:color="auto" w:sz="4" w:space="0"/>
            </w:tcBorders>
            <w:shd w:val="clear" w:color="auto" w:fill="FFFFFF"/>
            <w:noWrap w:val="0"/>
            <w:vAlign w:val="center"/>
          </w:tcPr>
          <w:p w14:paraId="38FE5851">
            <w:pPr>
              <w:spacing w:line="300" w:lineRule="exact"/>
              <w:jc w:val="left"/>
              <w:rPr>
                <w:rFonts w:hint="default"/>
                <w:color w:val="000000"/>
                <w:kern w:val="0"/>
                <w:sz w:val="21"/>
                <w:szCs w:val="21"/>
                <w:lang w:bidi="en-US"/>
              </w:rPr>
            </w:pPr>
            <w:r>
              <w:rPr>
                <w:color w:val="000000"/>
                <w:kern w:val="0"/>
                <w:sz w:val="21"/>
                <w:szCs w:val="21"/>
                <w:lang w:bidi="en-US"/>
              </w:rPr>
              <w:t>废气预处理设备、低温等离子体处理设备。</w:t>
            </w:r>
          </w:p>
        </w:tc>
        <w:tc>
          <w:tcPr>
            <w:tcW w:w="1147" w:type="pct"/>
            <w:tcBorders>
              <w:top w:val="single" w:color="auto" w:sz="4" w:space="0"/>
              <w:left w:val="single" w:color="auto" w:sz="4" w:space="0"/>
            </w:tcBorders>
            <w:shd w:val="clear" w:color="auto" w:fill="FFFFFF"/>
            <w:noWrap w:val="0"/>
            <w:vAlign w:val="center"/>
          </w:tcPr>
          <w:p w14:paraId="2CA1C7B6">
            <w:pPr>
              <w:spacing w:line="300" w:lineRule="exact"/>
              <w:rPr>
                <w:rFonts w:hint="default"/>
                <w:color w:val="000000"/>
                <w:kern w:val="0"/>
                <w:sz w:val="21"/>
                <w:szCs w:val="21"/>
                <w:lang w:bidi="en-US"/>
              </w:rPr>
            </w:pPr>
            <w:r>
              <w:rPr>
                <w:color w:val="000000"/>
                <w:kern w:val="0"/>
                <w:sz w:val="21"/>
                <w:szCs w:val="21"/>
                <w:lang w:bidi="en-US"/>
              </w:rPr>
              <w:t>VOCs净化效率超过70%，恶臭异味和VOCs排放浓度达到环保标准要求（提供环保设备监测报告）。</w:t>
            </w:r>
          </w:p>
        </w:tc>
        <w:tc>
          <w:tcPr>
            <w:tcW w:w="1432" w:type="pct"/>
            <w:tcBorders>
              <w:top w:val="single" w:color="auto" w:sz="4" w:space="0"/>
              <w:left w:val="single" w:color="auto" w:sz="4" w:space="0"/>
              <w:right w:val="single" w:color="auto" w:sz="4" w:space="0"/>
            </w:tcBorders>
            <w:shd w:val="clear" w:color="auto" w:fill="FFFFFF"/>
            <w:noWrap w:val="0"/>
            <w:vAlign w:val="center"/>
          </w:tcPr>
          <w:p w14:paraId="25BA7498">
            <w:pPr>
              <w:spacing w:line="300" w:lineRule="exact"/>
              <w:rPr>
                <w:rFonts w:hint="default"/>
                <w:color w:val="000000"/>
                <w:kern w:val="0"/>
                <w:sz w:val="21"/>
                <w:szCs w:val="21"/>
                <w:lang w:bidi="en-US"/>
              </w:rPr>
            </w:pPr>
            <w:r>
              <w:rPr>
                <w:color w:val="000000"/>
                <w:kern w:val="0"/>
                <w:sz w:val="21"/>
                <w:szCs w:val="21"/>
                <w:lang w:bidi="en-US"/>
              </w:rPr>
              <w:t>适用于污水废气处理、生物发酵、化工、喷涂、制药、农药、纺织印染等。</w:t>
            </w:r>
          </w:p>
        </w:tc>
      </w:tr>
      <w:tr w14:paraId="0C81A7E6">
        <w:tblPrEx>
          <w:tblCellMar>
            <w:top w:w="0" w:type="dxa"/>
            <w:left w:w="10" w:type="dxa"/>
            <w:bottom w:w="0" w:type="dxa"/>
            <w:right w:w="10" w:type="dxa"/>
          </w:tblCellMar>
        </w:tblPrEx>
        <w:trPr>
          <w:trHeight w:val="2135" w:hRule="exact"/>
          <w:jc w:val="center"/>
        </w:trPr>
        <w:tc>
          <w:tcPr>
            <w:tcW w:w="255" w:type="pct"/>
            <w:tcBorders>
              <w:top w:val="single" w:color="auto" w:sz="4" w:space="0"/>
              <w:left w:val="single" w:color="auto" w:sz="4" w:space="0"/>
            </w:tcBorders>
            <w:shd w:val="clear" w:color="auto" w:fill="FFFFFF"/>
            <w:noWrap w:val="0"/>
            <w:vAlign w:val="center"/>
          </w:tcPr>
          <w:p w14:paraId="6D3D2E4A">
            <w:pPr>
              <w:spacing w:line="300" w:lineRule="exact"/>
              <w:jc w:val="center"/>
              <w:rPr>
                <w:rFonts w:hint="default"/>
                <w:color w:val="000000"/>
                <w:kern w:val="0"/>
                <w:sz w:val="21"/>
                <w:szCs w:val="21"/>
                <w:lang w:eastAsia="en-US" w:bidi="en-US"/>
              </w:rPr>
            </w:pPr>
            <w:r>
              <w:rPr>
                <w:color w:val="000000"/>
                <w:kern w:val="0"/>
                <w:sz w:val="21"/>
                <w:szCs w:val="21"/>
                <w:lang w:eastAsia="en-US" w:bidi="en-US"/>
              </w:rPr>
              <w:t>14</w:t>
            </w:r>
          </w:p>
        </w:tc>
        <w:tc>
          <w:tcPr>
            <w:tcW w:w="317" w:type="pct"/>
            <w:vMerge w:val="continue"/>
            <w:tcBorders>
              <w:left w:val="single" w:color="auto" w:sz="4" w:space="0"/>
            </w:tcBorders>
            <w:shd w:val="clear" w:color="auto" w:fill="FFFFFF"/>
            <w:noWrap w:val="0"/>
            <w:vAlign w:val="center"/>
          </w:tcPr>
          <w:p w14:paraId="0136A530">
            <w:pPr>
              <w:spacing w:line="300" w:lineRule="exact"/>
              <w:jc w:val="left"/>
              <w:rPr>
                <w:rFonts w:hint="default"/>
                <w:color w:val="000000"/>
                <w:kern w:val="0"/>
                <w:sz w:val="21"/>
                <w:szCs w:val="21"/>
                <w:lang w:eastAsia="en-US" w:bidi="en-US"/>
              </w:rPr>
            </w:pPr>
          </w:p>
        </w:tc>
        <w:tc>
          <w:tcPr>
            <w:tcW w:w="516" w:type="pct"/>
            <w:tcBorders>
              <w:top w:val="single" w:color="auto" w:sz="4" w:space="0"/>
              <w:left w:val="single" w:color="auto" w:sz="4" w:space="0"/>
            </w:tcBorders>
            <w:shd w:val="clear" w:color="auto" w:fill="FFFFFF"/>
            <w:noWrap w:val="0"/>
            <w:vAlign w:val="center"/>
          </w:tcPr>
          <w:p w14:paraId="4F29E0F5">
            <w:pPr>
              <w:spacing w:line="300" w:lineRule="exact"/>
              <w:jc w:val="center"/>
              <w:rPr>
                <w:rFonts w:hint="default"/>
                <w:color w:val="000000"/>
                <w:kern w:val="0"/>
                <w:sz w:val="21"/>
                <w:szCs w:val="21"/>
                <w:lang w:bidi="en-US"/>
              </w:rPr>
            </w:pPr>
            <w:r>
              <w:rPr>
                <w:color w:val="000000"/>
                <w:kern w:val="0"/>
                <w:sz w:val="21"/>
                <w:szCs w:val="21"/>
                <w:lang w:bidi="en-US"/>
              </w:rPr>
              <w:t>VOCs生物净化系统</w:t>
            </w:r>
          </w:p>
        </w:tc>
        <w:tc>
          <w:tcPr>
            <w:tcW w:w="1332" w:type="pct"/>
            <w:tcBorders>
              <w:top w:val="single" w:color="auto" w:sz="4" w:space="0"/>
              <w:left w:val="single" w:color="auto" w:sz="4" w:space="0"/>
            </w:tcBorders>
            <w:shd w:val="clear" w:color="auto" w:fill="FFFFFF"/>
            <w:noWrap w:val="0"/>
            <w:vAlign w:val="center"/>
          </w:tcPr>
          <w:p w14:paraId="29919313">
            <w:pPr>
              <w:spacing w:line="300" w:lineRule="exact"/>
              <w:jc w:val="left"/>
              <w:rPr>
                <w:rFonts w:hint="default"/>
                <w:color w:val="000000"/>
                <w:kern w:val="0"/>
                <w:sz w:val="21"/>
                <w:szCs w:val="21"/>
                <w:lang w:bidi="en-US"/>
              </w:rPr>
            </w:pPr>
            <w:r>
              <w:rPr>
                <w:color w:val="000000"/>
                <w:kern w:val="0"/>
                <w:sz w:val="21"/>
                <w:szCs w:val="21"/>
                <w:lang w:bidi="en-US"/>
              </w:rPr>
              <w:t>废气预处理设备、生物降解设备。</w:t>
            </w:r>
          </w:p>
        </w:tc>
        <w:tc>
          <w:tcPr>
            <w:tcW w:w="1147" w:type="pct"/>
            <w:tcBorders>
              <w:top w:val="single" w:color="auto" w:sz="4" w:space="0"/>
              <w:left w:val="single" w:color="auto" w:sz="4" w:space="0"/>
            </w:tcBorders>
            <w:shd w:val="clear" w:color="auto" w:fill="FFFFFF"/>
            <w:noWrap w:val="0"/>
            <w:vAlign w:val="center"/>
          </w:tcPr>
          <w:p w14:paraId="08F007A5">
            <w:pPr>
              <w:spacing w:line="300" w:lineRule="exact"/>
              <w:rPr>
                <w:rFonts w:hint="default"/>
                <w:color w:val="000000"/>
                <w:kern w:val="0"/>
                <w:sz w:val="21"/>
                <w:szCs w:val="21"/>
                <w:lang w:bidi="en-US"/>
              </w:rPr>
            </w:pPr>
            <w:r>
              <w:rPr>
                <w:color w:val="000000"/>
                <w:kern w:val="0"/>
                <w:sz w:val="21"/>
                <w:szCs w:val="21"/>
                <w:lang w:bidi="en-US"/>
              </w:rPr>
              <w:t>生物降解净化效率超过85%（根据目前行业技术发展水平确定），恶臭异味和VOCs排放浓度达到环保要求（提供环保设备检测报告）。</w:t>
            </w:r>
          </w:p>
        </w:tc>
        <w:tc>
          <w:tcPr>
            <w:tcW w:w="1432" w:type="pct"/>
            <w:tcBorders>
              <w:top w:val="single" w:color="auto" w:sz="4" w:space="0"/>
              <w:left w:val="single" w:color="auto" w:sz="4" w:space="0"/>
              <w:right w:val="single" w:color="auto" w:sz="4" w:space="0"/>
            </w:tcBorders>
            <w:shd w:val="clear" w:color="auto" w:fill="FFFFFF"/>
            <w:noWrap w:val="0"/>
            <w:vAlign w:val="center"/>
          </w:tcPr>
          <w:p w14:paraId="12810010">
            <w:pPr>
              <w:spacing w:line="300" w:lineRule="exact"/>
              <w:rPr>
                <w:rFonts w:hint="default"/>
                <w:color w:val="000000"/>
                <w:kern w:val="0"/>
                <w:sz w:val="21"/>
                <w:szCs w:val="21"/>
                <w:lang w:bidi="en-US"/>
              </w:rPr>
            </w:pPr>
            <w:r>
              <w:rPr>
                <w:color w:val="000000"/>
                <w:kern w:val="0"/>
                <w:sz w:val="21"/>
                <w:szCs w:val="21"/>
                <w:lang w:bidi="en-US"/>
              </w:rPr>
              <w:t>适用于市政污水处理系统、工业企业废水处理站、生活垃圾处理废气治理以及其他低浓度混合废气治理的场合。</w:t>
            </w:r>
          </w:p>
        </w:tc>
      </w:tr>
      <w:tr w14:paraId="394A0634">
        <w:tblPrEx>
          <w:tblCellMar>
            <w:top w:w="0" w:type="dxa"/>
            <w:left w:w="10" w:type="dxa"/>
            <w:bottom w:w="0" w:type="dxa"/>
            <w:right w:w="10" w:type="dxa"/>
          </w:tblCellMar>
        </w:tblPrEx>
        <w:trPr>
          <w:trHeight w:val="1826" w:hRule="exact"/>
          <w:jc w:val="center"/>
        </w:trPr>
        <w:tc>
          <w:tcPr>
            <w:tcW w:w="255" w:type="pct"/>
            <w:tcBorders>
              <w:top w:val="single" w:color="auto" w:sz="4" w:space="0"/>
              <w:left w:val="single" w:color="auto" w:sz="4" w:space="0"/>
            </w:tcBorders>
            <w:shd w:val="clear" w:color="auto" w:fill="FFFFFF"/>
            <w:noWrap w:val="0"/>
            <w:vAlign w:val="center"/>
          </w:tcPr>
          <w:p w14:paraId="15556337">
            <w:pPr>
              <w:spacing w:line="300" w:lineRule="exact"/>
              <w:jc w:val="center"/>
              <w:rPr>
                <w:rFonts w:hint="default"/>
                <w:color w:val="000000"/>
                <w:kern w:val="0"/>
                <w:sz w:val="21"/>
                <w:szCs w:val="21"/>
                <w:lang w:eastAsia="en-US" w:bidi="en-US"/>
              </w:rPr>
            </w:pPr>
            <w:r>
              <w:rPr>
                <w:color w:val="000000"/>
                <w:kern w:val="0"/>
                <w:sz w:val="21"/>
                <w:szCs w:val="21"/>
                <w:lang w:eastAsia="en-US" w:bidi="en-US"/>
              </w:rPr>
              <w:t>15</w:t>
            </w:r>
          </w:p>
        </w:tc>
        <w:tc>
          <w:tcPr>
            <w:tcW w:w="317" w:type="pct"/>
            <w:vMerge w:val="continue"/>
            <w:tcBorders>
              <w:left w:val="single" w:color="auto" w:sz="4" w:space="0"/>
            </w:tcBorders>
            <w:shd w:val="clear" w:color="auto" w:fill="FFFFFF"/>
            <w:noWrap w:val="0"/>
            <w:vAlign w:val="center"/>
          </w:tcPr>
          <w:p w14:paraId="66FB4825">
            <w:pPr>
              <w:spacing w:line="300" w:lineRule="exact"/>
              <w:jc w:val="left"/>
              <w:rPr>
                <w:rFonts w:hint="default"/>
                <w:color w:val="000000"/>
                <w:kern w:val="0"/>
                <w:sz w:val="21"/>
                <w:szCs w:val="21"/>
                <w:lang w:eastAsia="en-US" w:bidi="en-US"/>
              </w:rPr>
            </w:pPr>
          </w:p>
        </w:tc>
        <w:tc>
          <w:tcPr>
            <w:tcW w:w="516" w:type="pct"/>
            <w:tcBorders>
              <w:top w:val="single" w:color="auto" w:sz="4" w:space="0"/>
              <w:left w:val="single" w:color="auto" w:sz="4" w:space="0"/>
            </w:tcBorders>
            <w:shd w:val="clear" w:color="auto" w:fill="FFFFFF"/>
            <w:noWrap w:val="0"/>
            <w:vAlign w:val="center"/>
          </w:tcPr>
          <w:p w14:paraId="138A9A5B">
            <w:pPr>
              <w:spacing w:after="40" w:line="300" w:lineRule="exact"/>
              <w:jc w:val="left"/>
              <w:rPr>
                <w:rFonts w:hint="default"/>
                <w:color w:val="000000"/>
                <w:kern w:val="0"/>
                <w:sz w:val="21"/>
                <w:szCs w:val="21"/>
                <w:lang w:bidi="en-US"/>
              </w:rPr>
            </w:pPr>
            <w:r>
              <w:rPr>
                <w:color w:val="000000"/>
                <w:kern w:val="0"/>
                <w:sz w:val="21"/>
                <w:szCs w:val="21"/>
                <w:lang w:bidi="en-US"/>
              </w:rPr>
              <w:t>汽油加油系统</w:t>
            </w:r>
          </w:p>
          <w:p w14:paraId="0543A6C0">
            <w:pPr>
              <w:spacing w:line="300" w:lineRule="exact"/>
              <w:jc w:val="left"/>
              <w:rPr>
                <w:rFonts w:hint="default"/>
                <w:color w:val="000000"/>
                <w:kern w:val="0"/>
                <w:sz w:val="21"/>
                <w:szCs w:val="21"/>
                <w:lang w:bidi="en-US"/>
              </w:rPr>
            </w:pPr>
            <w:r>
              <w:rPr>
                <w:color w:val="000000"/>
                <w:kern w:val="0"/>
                <w:sz w:val="21"/>
                <w:szCs w:val="21"/>
                <w:lang w:bidi="en-US"/>
              </w:rPr>
              <w:t>油气回收系统</w:t>
            </w:r>
          </w:p>
        </w:tc>
        <w:tc>
          <w:tcPr>
            <w:tcW w:w="1332" w:type="pct"/>
            <w:tcBorders>
              <w:top w:val="single" w:color="auto" w:sz="4" w:space="0"/>
              <w:left w:val="single" w:color="auto" w:sz="4" w:space="0"/>
            </w:tcBorders>
            <w:shd w:val="clear" w:color="auto" w:fill="FFFFFF"/>
            <w:noWrap w:val="0"/>
            <w:vAlign w:val="top"/>
          </w:tcPr>
          <w:p w14:paraId="65C5381D">
            <w:pPr>
              <w:spacing w:line="300" w:lineRule="exact"/>
              <w:jc w:val="left"/>
              <w:rPr>
                <w:rFonts w:hint="default"/>
                <w:color w:val="000000"/>
                <w:kern w:val="0"/>
                <w:sz w:val="21"/>
                <w:szCs w:val="21"/>
                <w:lang w:bidi="en-US"/>
              </w:rPr>
            </w:pPr>
          </w:p>
        </w:tc>
        <w:tc>
          <w:tcPr>
            <w:tcW w:w="1147" w:type="pct"/>
            <w:tcBorders>
              <w:top w:val="single" w:color="auto" w:sz="4" w:space="0"/>
              <w:left w:val="single" w:color="auto" w:sz="4" w:space="0"/>
            </w:tcBorders>
            <w:shd w:val="clear" w:color="auto" w:fill="FFFFFF"/>
            <w:noWrap w:val="0"/>
            <w:vAlign w:val="center"/>
          </w:tcPr>
          <w:p w14:paraId="606AEB3B">
            <w:pPr>
              <w:spacing w:line="300" w:lineRule="exact"/>
              <w:rPr>
                <w:rFonts w:hint="default"/>
                <w:color w:val="000000"/>
                <w:kern w:val="0"/>
                <w:sz w:val="21"/>
                <w:szCs w:val="21"/>
                <w:lang w:bidi="en-US"/>
              </w:rPr>
            </w:pPr>
            <w:r>
              <w:rPr>
                <w:color w:val="000000"/>
                <w:kern w:val="0"/>
                <w:sz w:val="21"/>
                <w:szCs w:val="21"/>
                <w:lang w:bidi="en-US"/>
              </w:rPr>
              <w:t>加油站、储油库油气回收系统：油气处理率＞90%；</w:t>
            </w:r>
          </w:p>
          <w:p w14:paraId="56100D2F">
            <w:pPr>
              <w:spacing w:line="300" w:lineRule="exact"/>
              <w:rPr>
                <w:rFonts w:hint="default"/>
                <w:color w:val="000000"/>
                <w:kern w:val="0"/>
                <w:sz w:val="21"/>
                <w:szCs w:val="21"/>
                <w:lang w:bidi="en-US"/>
              </w:rPr>
            </w:pPr>
            <w:r>
              <w:rPr>
                <w:color w:val="000000"/>
                <w:kern w:val="0"/>
                <w:sz w:val="21"/>
                <w:szCs w:val="21"/>
                <w:lang w:bidi="en-US"/>
              </w:rPr>
              <w:t>油罐车卸油油气回收系统：油气处理率＞95%。</w:t>
            </w:r>
          </w:p>
        </w:tc>
        <w:tc>
          <w:tcPr>
            <w:tcW w:w="1432" w:type="pct"/>
            <w:tcBorders>
              <w:top w:val="single" w:color="auto" w:sz="4" w:space="0"/>
              <w:left w:val="single" w:color="auto" w:sz="4" w:space="0"/>
              <w:right w:val="single" w:color="auto" w:sz="4" w:space="0"/>
            </w:tcBorders>
            <w:shd w:val="clear" w:color="auto" w:fill="FFFFFF"/>
            <w:noWrap w:val="0"/>
            <w:vAlign w:val="center"/>
          </w:tcPr>
          <w:p w14:paraId="599D768E">
            <w:pPr>
              <w:spacing w:line="300" w:lineRule="exact"/>
              <w:rPr>
                <w:rFonts w:hint="default"/>
                <w:color w:val="000000"/>
                <w:kern w:val="0"/>
                <w:sz w:val="21"/>
                <w:szCs w:val="21"/>
                <w:lang w:bidi="en-US"/>
              </w:rPr>
            </w:pPr>
            <w:r>
              <w:rPr>
                <w:color w:val="000000"/>
                <w:kern w:val="0"/>
                <w:sz w:val="21"/>
                <w:szCs w:val="21"/>
                <w:lang w:bidi="en-US"/>
              </w:rPr>
              <w:t>适用于车用汽油的加注、运输、储存的油气回收（VOCs）。</w:t>
            </w:r>
          </w:p>
        </w:tc>
      </w:tr>
      <w:tr w14:paraId="3529A92C">
        <w:tblPrEx>
          <w:tblCellMar>
            <w:top w:w="0" w:type="dxa"/>
            <w:left w:w="10" w:type="dxa"/>
            <w:bottom w:w="0" w:type="dxa"/>
            <w:right w:w="10" w:type="dxa"/>
          </w:tblCellMar>
        </w:tblPrEx>
        <w:trPr>
          <w:trHeight w:val="1695" w:hRule="exact"/>
          <w:jc w:val="center"/>
        </w:trPr>
        <w:tc>
          <w:tcPr>
            <w:tcW w:w="255" w:type="pct"/>
            <w:tcBorders>
              <w:top w:val="single" w:color="auto" w:sz="4" w:space="0"/>
              <w:left w:val="single" w:color="auto" w:sz="4" w:space="0"/>
              <w:bottom w:val="single" w:color="auto" w:sz="4" w:space="0"/>
            </w:tcBorders>
            <w:shd w:val="clear" w:color="auto" w:fill="FFFFFF"/>
            <w:noWrap w:val="0"/>
            <w:vAlign w:val="center"/>
          </w:tcPr>
          <w:p w14:paraId="139EFAEF">
            <w:pPr>
              <w:spacing w:line="300" w:lineRule="exact"/>
              <w:jc w:val="center"/>
              <w:rPr>
                <w:rFonts w:hint="default"/>
                <w:color w:val="000000"/>
                <w:kern w:val="0"/>
                <w:sz w:val="21"/>
                <w:szCs w:val="21"/>
                <w:lang w:eastAsia="en-US" w:bidi="en-US"/>
              </w:rPr>
            </w:pPr>
            <w:r>
              <w:rPr>
                <w:color w:val="000000"/>
                <w:kern w:val="0"/>
                <w:sz w:val="21"/>
                <w:szCs w:val="21"/>
                <w:lang w:eastAsia="en-US" w:bidi="en-US"/>
              </w:rPr>
              <w:t>16</w:t>
            </w:r>
          </w:p>
        </w:tc>
        <w:tc>
          <w:tcPr>
            <w:tcW w:w="833" w:type="pct"/>
            <w:gridSpan w:val="2"/>
            <w:tcBorders>
              <w:top w:val="single" w:color="auto" w:sz="4" w:space="0"/>
              <w:left w:val="single" w:color="auto" w:sz="4" w:space="0"/>
              <w:bottom w:val="single" w:color="auto" w:sz="4" w:space="0"/>
            </w:tcBorders>
            <w:shd w:val="clear" w:color="auto" w:fill="FFFFFF"/>
            <w:noWrap w:val="0"/>
            <w:vAlign w:val="center"/>
          </w:tcPr>
          <w:p w14:paraId="3F64B16C">
            <w:pPr>
              <w:spacing w:line="300" w:lineRule="exact"/>
              <w:jc w:val="center"/>
              <w:rPr>
                <w:rFonts w:hint="default"/>
                <w:color w:val="000000"/>
                <w:kern w:val="0"/>
                <w:sz w:val="21"/>
                <w:szCs w:val="21"/>
                <w:lang w:eastAsia="en-US" w:bidi="en-US"/>
              </w:rPr>
            </w:pPr>
            <w:r>
              <w:rPr>
                <w:color w:val="000000"/>
                <w:kern w:val="0"/>
                <w:sz w:val="21"/>
                <w:szCs w:val="21"/>
                <w:lang w:eastAsia="en-US" w:bidi="en-US"/>
              </w:rPr>
              <w:t>饮食业油烟净化设备</w:t>
            </w:r>
          </w:p>
        </w:tc>
        <w:tc>
          <w:tcPr>
            <w:tcW w:w="1332" w:type="pct"/>
            <w:tcBorders>
              <w:top w:val="single" w:color="auto" w:sz="4" w:space="0"/>
              <w:left w:val="single" w:color="auto" w:sz="4" w:space="0"/>
              <w:bottom w:val="single" w:color="auto" w:sz="4" w:space="0"/>
            </w:tcBorders>
            <w:shd w:val="clear" w:color="auto" w:fill="FFFFFF"/>
            <w:noWrap w:val="0"/>
            <w:vAlign w:val="top"/>
          </w:tcPr>
          <w:p w14:paraId="34B0F8D4">
            <w:pPr>
              <w:spacing w:line="300" w:lineRule="exact"/>
              <w:jc w:val="left"/>
              <w:rPr>
                <w:rFonts w:hint="default"/>
                <w:color w:val="000000"/>
                <w:kern w:val="0"/>
                <w:sz w:val="21"/>
                <w:szCs w:val="21"/>
                <w:lang w:eastAsia="en-US" w:bidi="en-US"/>
              </w:rPr>
            </w:pPr>
          </w:p>
        </w:tc>
        <w:tc>
          <w:tcPr>
            <w:tcW w:w="1147" w:type="pct"/>
            <w:tcBorders>
              <w:top w:val="single" w:color="auto" w:sz="4" w:space="0"/>
              <w:left w:val="single" w:color="auto" w:sz="4" w:space="0"/>
              <w:bottom w:val="single" w:color="auto" w:sz="4" w:space="0"/>
            </w:tcBorders>
            <w:shd w:val="clear" w:color="auto" w:fill="FFFFFF"/>
            <w:noWrap w:val="0"/>
            <w:vAlign w:val="center"/>
          </w:tcPr>
          <w:p w14:paraId="7759FB0B">
            <w:pPr>
              <w:spacing w:line="300" w:lineRule="exact"/>
              <w:rPr>
                <w:rFonts w:hint="default"/>
                <w:color w:val="000000"/>
                <w:kern w:val="0"/>
                <w:sz w:val="21"/>
                <w:szCs w:val="21"/>
                <w:lang w:bidi="en-US"/>
              </w:rPr>
            </w:pPr>
            <w:r>
              <w:rPr>
                <w:color w:val="000000"/>
                <w:kern w:val="0"/>
                <w:sz w:val="21"/>
                <w:szCs w:val="21"/>
                <w:lang w:bidi="en-US"/>
              </w:rPr>
              <w:t>除油烟效率＞95%，设备阻力＜300Pa，本体漏风率＜5%，油烟排放浓度低于2mg/Nm</w:t>
            </w:r>
            <w:r>
              <w:rPr>
                <w:color w:val="000000"/>
                <w:kern w:val="0"/>
                <w:sz w:val="21"/>
                <w:szCs w:val="21"/>
                <w:vertAlign w:val="superscript"/>
                <w:lang w:bidi="en-US"/>
              </w:rPr>
              <w:t>3</w:t>
            </w:r>
            <w:r>
              <w:rPr>
                <w:color w:val="000000"/>
                <w:kern w:val="0"/>
                <w:sz w:val="21"/>
                <w:szCs w:val="21"/>
                <w:lang w:bidi="en-US"/>
              </w:rPr>
              <w:t>。</w:t>
            </w:r>
          </w:p>
        </w:tc>
        <w:tc>
          <w:tcPr>
            <w:tcW w:w="1432"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047E546A">
            <w:pPr>
              <w:spacing w:line="300" w:lineRule="exact"/>
              <w:rPr>
                <w:rFonts w:hint="default"/>
                <w:color w:val="000000"/>
                <w:kern w:val="0"/>
                <w:sz w:val="21"/>
                <w:szCs w:val="21"/>
                <w:lang w:bidi="en-US"/>
              </w:rPr>
            </w:pPr>
            <w:r>
              <w:rPr>
                <w:color w:val="000000"/>
                <w:kern w:val="0"/>
                <w:sz w:val="21"/>
                <w:szCs w:val="21"/>
                <w:lang w:bidi="en-US"/>
              </w:rPr>
              <w:t>适用于大型或中高档饭店，如星级饭店、麦当劳、肯德基及品牌连锁店等。</w:t>
            </w:r>
          </w:p>
        </w:tc>
      </w:tr>
    </w:tbl>
    <w:p w14:paraId="79A9D2A4">
      <w:pPr>
        <w:spacing w:after="380"/>
        <w:jc w:val="left"/>
        <w:rPr>
          <w:rFonts w:hint="default" w:ascii="楷体_GB2312" w:hAnsi="楷体_GB2312" w:eastAsia="楷体_GB2312" w:cs="楷体_GB2312"/>
          <w:b w:val="0"/>
          <w:bCs w:val="0"/>
          <w:color w:val="000000"/>
          <w:kern w:val="0"/>
          <w:sz w:val="32"/>
          <w:szCs w:val="48"/>
          <w:lang w:bidi="en-US"/>
        </w:rPr>
      </w:pPr>
    </w:p>
    <w:p w14:paraId="6C8BB597">
      <w:pPr>
        <w:spacing w:after="380"/>
        <w:jc w:val="left"/>
        <w:rPr>
          <w:rFonts w:hint="default" w:ascii="楷体_GB2312" w:hAnsi="楷体_GB2312" w:eastAsia="楷体_GB2312" w:cs="楷体_GB2312"/>
          <w:b w:val="0"/>
          <w:bCs w:val="0"/>
          <w:color w:val="000000"/>
          <w:kern w:val="0"/>
          <w:sz w:val="32"/>
          <w:szCs w:val="48"/>
          <w:lang w:bidi="en-US"/>
        </w:rPr>
      </w:pPr>
    </w:p>
    <w:p w14:paraId="0C911DEE">
      <w:pPr>
        <w:spacing w:after="380"/>
        <w:jc w:val="left"/>
        <w:rPr>
          <w:rFonts w:hint="default" w:ascii="楷体_GB2312" w:hAnsi="楷体_GB2312" w:eastAsia="楷体_GB2312" w:cs="楷体_GB2312"/>
          <w:b w:val="0"/>
          <w:bCs w:val="0"/>
          <w:color w:val="000000"/>
          <w:kern w:val="0"/>
          <w:sz w:val="32"/>
          <w:szCs w:val="48"/>
          <w:lang w:bidi="en-US"/>
        </w:rPr>
      </w:pPr>
    </w:p>
    <w:p w14:paraId="3ECBC69B">
      <w:pPr>
        <w:spacing w:after="380"/>
        <w:jc w:val="left"/>
        <w:rPr>
          <w:rFonts w:hint="default" w:ascii="楷体_GB2312" w:hAnsi="楷体_GB2312" w:eastAsia="楷体_GB2312" w:cs="楷体_GB2312"/>
          <w:b w:val="0"/>
          <w:bCs w:val="0"/>
          <w:color w:val="000000"/>
          <w:kern w:val="0"/>
          <w:sz w:val="32"/>
          <w:szCs w:val="48"/>
          <w:lang w:bidi="en-US"/>
        </w:rPr>
      </w:pPr>
    </w:p>
    <w:p w14:paraId="34B45C7D">
      <w:pPr>
        <w:spacing w:after="380"/>
        <w:jc w:val="left"/>
        <w:rPr>
          <w:rFonts w:hint="default" w:ascii="楷体_GB2312" w:hAnsi="楷体_GB2312" w:eastAsia="楷体_GB2312" w:cs="楷体_GB2312"/>
          <w:b w:val="0"/>
          <w:bCs w:val="0"/>
          <w:color w:val="000000"/>
          <w:kern w:val="0"/>
          <w:sz w:val="32"/>
          <w:szCs w:val="48"/>
          <w:lang w:bidi="en-US"/>
        </w:rPr>
      </w:pPr>
    </w:p>
    <w:p w14:paraId="66F46118">
      <w:pPr>
        <w:spacing w:after="380"/>
        <w:ind w:firstLine="640" w:firstLineChars="200"/>
        <w:jc w:val="left"/>
        <w:rPr>
          <w:rFonts w:hint="default" w:ascii="楷体_GB2312" w:hAnsi="楷体_GB2312" w:eastAsia="楷体_GB2312" w:cs="楷体_GB2312"/>
          <w:b w:val="0"/>
          <w:bCs w:val="0"/>
          <w:color w:val="000000"/>
          <w:kern w:val="0"/>
          <w:szCs w:val="32"/>
          <w:lang w:bidi="en-US"/>
        </w:rPr>
      </w:pPr>
      <w:bookmarkStart w:id="107" w:name="bookmark24"/>
      <w:bookmarkEnd w:id="107"/>
      <w:bookmarkStart w:id="108" w:name="_Toc4458_WPSOffice_Level2"/>
      <w:r>
        <w:rPr>
          <w:rFonts w:ascii="楷体_GB2312" w:hAnsi="楷体_GB2312" w:eastAsia="楷体_GB2312" w:cs="楷体_GB2312"/>
          <w:b w:val="0"/>
          <w:bCs w:val="0"/>
          <w:color w:val="000000"/>
          <w:kern w:val="0"/>
          <w:sz w:val="32"/>
          <w:szCs w:val="48"/>
          <w:lang w:bidi="en-US"/>
        </w:rPr>
        <w:t>（三）固体废物污染防治设备</w:t>
      </w:r>
      <w:bookmarkEnd w:id="108"/>
    </w:p>
    <w:tbl>
      <w:tblPr>
        <w:tblStyle w:val="3"/>
        <w:tblW w:w="4998" w:type="pct"/>
        <w:jc w:val="center"/>
        <w:tblLayout w:type="autofit"/>
        <w:tblCellMar>
          <w:top w:w="0" w:type="dxa"/>
          <w:left w:w="10" w:type="dxa"/>
          <w:bottom w:w="0" w:type="dxa"/>
          <w:right w:w="10" w:type="dxa"/>
        </w:tblCellMar>
      </w:tblPr>
      <w:tblGrid>
        <w:gridCol w:w="426"/>
        <w:gridCol w:w="1222"/>
        <w:gridCol w:w="4580"/>
        <w:gridCol w:w="2094"/>
      </w:tblGrid>
      <w:tr w14:paraId="45DAA8AD">
        <w:tblPrEx>
          <w:tblCellMar>
            <w:top w:w="0" w:type="dxa"/>
            <w:left w:w="10" w:type="dxa"/>
            <w:bottom w:w="0" w:type="dxa"/>
            <w:right w:w="10" w:type="dxa"/>
          </w:tblCellMar>
        </w:tblPrEx>
        <w:trPr>
          <w:trHeight w:val="475" w:hRule="exact"/>
          <w:jc w:val="center"/>
        </w:trPr>
        <w:tc>
          <w:tcPr>
            <w:tcW w:w="256" w:type="pct"/>
            <w:tcBorders>
              <w:top w:val="single" w:color="auto" w:sz="4" w:space="0"/>
              <w:left w:val="single" w:color="auto" w:sz="4" w:space="0"/>
            </w:tcBorders>
            <w:shd w:val="clear" w:color="auto" w:fill="FFFFFF"/>
            <w:noWrap w:val="0"/>
            <w:vAlign w:val="center"/>
          </w:tcPr>
          <w:p w14:paraId="268E50B6">
            <w:pPr>
              <w:jc w:val="center"/>
              <w:rPr>
                <w:rFonts w:hint="default"/>
                <w:color w:val="000000"/>
                <w:kern w:val="0"/>
                <w:sz w:val="21"/>
                <w:szCs w:val="21"/>
                <w:lang w:eastAsia="en-US" w:bidi="en-US"/>
              </w:rPr>
            </w:pPr>
            <w:r>
              <w:rPr>
                <w:b/>
                <w:bCs/>
                <w:color w:val="000000"/>
                <w:kern w:val="0"/>
                <w:sz w:val="21"/>
                <w:szCs w:val="21"/>
                <w:lang w:eastAsia="en-US" w:bidi="en-US"/>
              </w:rPr>
              <w:t>序号</w:t>
            </w:r>
          </w:p>
        </w:tc>
        <w:tc>
          <w:tcPr>
            <w:tcW w:w="734" w:type="pct"/>
            <w:tcBorders>
              <w:top w:val="single" w:color="auto" w:sz="4" w:space="0"/>
              <w:left w:val="single" w:color="auto" w:sz="4" w:space="0"/>
            </w:tcBorders>
            <w:shd w:val="clear" w:color="auto" w:fill="FFFFFF"/>
            <w:noWrap w:val="0"/>
            <w:vAlign w:val="center"/>
          </w:tcPr>
          <w:p w14:paraId="69D32726">
            <w:pPr>
              <w:jc w:val="center"/>
              <w:rPr>
                <w:rFonts w:hint="default"/>
                <w:color w:val="000000"/>
                <w:kern w:val="0"/>
                <w:sz w:val="21"/>
                <w:szCs w:val="21"/>
                <w:lang w:eastAsia="en-US" w:bidi="en-US"/>
              </w:rPr>
            </w:pPr>
            <w:r>
              <w:rPr>
                <w:b/>
                <w:bCs/>
                <w:color w:val="000000"/>
                <w:kern w:val="0"/>
                <w:sz w:val="21"/>
                <w:szCs w:val="21"/>
                <w:lang w:eastAsia="en-US" w:bidi="en-US"/>
              </w:rPr>
              <w:t>设备名称</w:t>
            </w:r>
          </w:p>
        </w:tc>
        <w:tc>
          <w:tcPr>
            <w:tcW w:w="2751" w:type="pct"/>
            <w:tcBorders>
              <w:top w:val="single" w:color="auto" w:sz="4" w:space="0"/>
              <w:left w:val="single" w:color="auto" w:sz="4" w:space="0"/>
            </w:tcBorders>
            <w:shd w:val="clear" w:color="auto" w:fill="FFFFFF"/>
            <w:noWrap w:val="0"/>
            <w:vAlign w:val="center"/>
          </w:tcPr>
          <w:p w14:paraId="2A97EA95">
            <w:pPr>
              <w:tabs>
                <w:tab w:val="left" w:pos="634"/>
              </w:tabs>
              <w:jc w:val="center"/>
              <w:rPr>
                <w:rFonts w:hint="default"/>
                <w:color w:val="000000"/>
                <w:kern w:val="0"/>
                <w:sz w:val="21"/>
                <w:szCs w:val="21"/>
                <w:lang w:eastAsia="en-US" w:bidi="en-US"/>
              </w:rPr>
            </w:pPr>
            <w:r>
              <w:rPr>
                <w:b/>
                <w:bCs/>
                <w:color w:val="000000"/>
                <w:kern w:val="0"/>
                <w:sz w:val="21"/>
                <w:szCs w:val="21"/>
                <w:lang w:eastAsia="en-US" w:bidi="en-US"/>
              </w:rPr>
              <w:t>性能参数</w:t>
            </w:r>
          </w:p>
        </w:tc>
        <w:tc>
          <w:tcPr>
            <w:tcW w:w="1258" w:type="pct"/>
            <w:tcBorders>
              <w:top w:val="single" w:color="auto" w:sz="4" w:space="0"/>
              <w:left w:val="single" w:color="auto" w:sz="4" w:space="0"/>
              <w:right w:val="single" w:color="auto" w:sz="4" w:space="0"/>
            </w:tcBorders>
            <w:shd w:val="clear" w:color="auto" w:fill="FFFFFF"/>
            <w:noWrap w:val="0"/>
            <w:vAlign w:val="center"/>
          </w:tcPr>
          <w:p w14:paraId="3BF51771">
            <w:pPr>
              <w:jc w:val="center"/>
              <w:rPr>
                <w:rFonts w:hint="default"/>
                <w:color w:val="000000"/>
                <w:kern w:val="0"/>
                <w:sz w:val="21"/>
                <w:szCs w:val="21"/>
                <w:lang w:eastAsia="en-US" w:bidi="en-US"/>
              </w:rPr>
            </w:pPr>
            <w:r>
              <w:rPr>
                <w:b/>
                <w:bCs/>
                <w:color w:val="000000"/>
                <w:kern w:val="0"/>
                <w:sz w:val="21"/>
                <w:szCs w:val="21"/>
                <w:lang w:eastAsia="en-US" w:bidi="en-US"/>
              </w:rPr>
              <w:t>应用领域</w:t>
            </w:r>
          </w:p>
        </w:tc>
      </w:tr>
      <w:tr w14:paraId="47D71513">
        <w:tblPrEx>
          <w:tblCellMar>
            <w:top w:w="0" w:type="dxa"/>
            <w:left w:w="10" w:type="dxa"/>
            <w:bottom w:w="0" w:type="dxa"/>
            <w:right w:w="10" w:type="dxa"/>
          </w:tblCellMar>
        </w:tblPrEx>
        <w:trPr>
          <w:trHeight w:val="2474" w:hRule="exact"/>
          <w:jc w:val="center"/>
        </w:trPr>
        <w:tc>
          <w:tcPr>
            <w:tcW w:w="256" w:type="pct"/>
            <w:tcBorders>
              <w:top w:val="single" w:color="auto" w:sz="4" w:space="0"/>
              <w:left w:val="single" w:color="auto" w:sz="4" w:space="0"/>
            </w:tcBorders>
            <w:shd w:val="clear" w:color="auto" w:fill="FFFFFF"/>
            <w:noWrap w:val="0"/>
            <w:vAlign w:val="center"/>
          </w:tcPr>
          <w:p w14:paraId="290B7AD6">
            <w:pPr>
              <w:jc w:val="center"/>
              <w:rPr>
                <w:rFonts w:hint="default"/>
                <w:color w:val="000000"/>
                <w:kern w:val="0"/>
                <w:sz w:val="21"/>
                <w:szCs w:val="21"/>
                <w:lang w:eastAsia="en-US" w:bidi="en-US"/>
              </w:rPr>
            </w:pPr>
            <w:r>
              <w:rPr>
                <w:color w:val="000000"/>
                <w:kern w:val="0"/>
                <w:sz w:val="21"/>
                <w:szCs w:val="21"/>
                <w:lang w:eastAsia="en-US" w:bidi="en-US"/>
              </w:rPr>
              <w:t>1</w:t>
            </w:r>
          </w:p>
        </w:tc>
        <w:tc>
          <w:tcPr>
            <w:tcW w:w="734" w:type="pct"/>
            <w:tcBorders>
              <w:top w:val="single" w:color="auto" w:sz="4" w:space="0"/>
              <w:left w:val="single" w:color="auto" w:sz="4" w:space="0"/>
            </w:tcBorders>
            <w:shd w:val="clear" w:color="auto" w:fill="FFFFFF"/>
            <w:noWrap w:val="0"/>
            <w:vAlign w:val="center"/>
          </w:tcPr>
          <w:p w14:paraId="6D504A96">
            <w:pPr>
              <w:spacing w:line="300" w:lineRule="exact"/>
              <w:jc w:val="center"/>
              <w:rPr>
                <w:rFonts w:hint="default"/>
                <w:color w:val="000000"/>
                <w:kern w:val="0"/>
                <w:sz w:val="21"/>
                <w:szCs w:val="21"/>
                <w:lang w:bidi="en-US"/>
              </w:rPr>
            </w:pPr>
            <w:r>
              <w:rPr>
                <w:color w:val="000000"/>
                <w:kern w:val="0"/>
                <w:sz w:val="21"/>
                <w:szCs w:val="21"/>
                <w:lang w:bidi="en-US"/>
              </w:rPr>
              <w:t>危险废物回转窑焚烧炉</w:t>
            </w:r>
          </w:p>
        </w:tc>
        <w:tc>
          <w:tcPr>
            <w:tcW w:w="2751" w:type="pct"/>
            <w:tcBorders>
              <w:top w:val="single" w:color="auto" w:sz="4" w:space="0"/>
              <w:left w:val="single" w:color="auto" w:sz="4" w:space="0"/>
            </w:tcBorders>
            <w:shd w:val="clear" w:color="auto" w:fill="FFFFFF"/>
            <w:noWrap w:val="0"/>
            <w:vAlign w:val="center"/>
          </w:tcPr>
          <w:p w14:paraId="38E0C1B0">
            <w:pPr>
              <w:spacing w:line="300" w:lineRule="exact"/>
              <w:jc w:val="left"/>
              <w:rPr>
                <w:rFonts w:hint="default"/>
                <w:color w:val="000000"/>
                <w:kern w:val="0"/>
                <w:sz w:val="21"/>
                <w:szCs w:val="21"/>
                <w:lang w:bidi="en-US"/>
              </w:rPr>
            </w:pPr>
            <w:r>
              <w:rPr>
                <w:color w:val="000000"/>
                <w:kern w:val="0"/>
                <w:sz w:val="21"/>
                <w:szCs w:val="21"/>
                <w:lang w:bidi="en-US"/>
              </w:rPr>
              <w:t>处理规模＞20t/d；</w:t>
            </w:r>
          </w:p>
          <w:p w14:paraId="490BA3D2">
            <w:pPr>
              <w:spacing w:line="300" w:lineRule="exact"/>
              <w:jc w:val="left"/>
              <w:rPr>
                <w:rFonts w:hint="default"/>
                <w:color w:val="000000"/>
                <w:kern w:val="0"/>
                <w:sz w:val="21"/>
                <w:szCs w:val="21"/>
                <w:lang w:bidi="en-US"/>
              </w:rPr>
            </w:pPr>
            <w:r>
              <w:rPr>
                <w:color w:val="000000"/>
                <w:kern w:val="0"/>
                <w:sz w:val="21"/>
                <w:szCs w:val="21"/>
                <w:lang w:bidi="en-US"/>
              </w:rPr>
              <w:t>焚烧炉温度＞1100℃；</w:t>
            </w:r>
          </w:p>
          <w:p w14:paraId="3730A373">
            <w:pPr>
              <w:spacing w:line="300" w:lineRule="exact"/>
              <w:jc w:val="left"/>
              <w:rPr>
                <w:rFonts w:hint="default"/>
                <w:color w:val="000000"/>
                <w:kern w:val="0"/>
                <w:sz w:val="21"/>
                <w:szCs w:val="21"/>
                <w:lang w:bidi="en-US"/>
              </w:rPr>
            </w:pPr>
            <w:r>
              <w:rPr>
                <w:color w:val="000000"/>
                <w:kern w:val="0"/>
                <w:sz w:val="21"/>
                <w:szCs w:val="21"/>
                <w:lang w:bidi="en-US"/>
              </w:rPr>
              <w:t>烟气停留时间＞2s；</w:t>
            </w:r>
          </w:p>
          <w:p w14:paraId="2C0C7305">
            <w:pPr>
              <w:spacing w:line="300" w:lineRule="exact"/>
              <w:jc w:val="left"/>
              <w:rPr>
                <w:rFonts w:hint="default"/>
                <w:color w:val="000000"/>
                <w:kern w:val="0"/>
                <w:sz w:val="21"/>
                <w:szCs w:val="21"/>
                <w:lang w:bidi="en-US"/>
              </w:rPr>
            </w:pPr>
            <w:r>
              <w:rPr>
                <w:color w:val="000000"/>
                <w:kern w:val="0"/>
                <w:sz w:val="21"/>
                <w:szCs w:val="21"/>
                <w:lang w:bidi="en-US"/>
              </w:rPr>
              <w:t>烟气排放达到《危险废物焚烧污染控制标准》(GB18484-2001)；</w:t>
            </w:r>
          </w:p>
          <w:p w14:paraId="345EF409">
            <w:pPr>
              <w:spacing w:line="300" w:lineRule="exact"/>
              <w:jc w:val="left"/>
              <w:rPr>
                <w:rFonts w:hint="default"/>
                <w:color w:val="000000"/>
                <w:kern w:val="0"/>
                <w:sz w:val="21"/>
                <w:szCs w:val="21"/>
                <w:lang w:bidi="en-US"/>
              </w:rPr>
            </w:pPr>
            <w:r>
              <w:rPr>
                <w:color w:val="000000"/>
                <w:kern w:val="0"/>
                <w:sz w:val="21"/>
                <w:szCs w:val="21"/>
                <w:lang w:bidi="en-US"/>
              </w:rPr>
              <w:t>其他参数符合《危险废物集中焚烧处置工程建设技术规范》(HJ/T176-2005)。</w:t>
            </w:r>
          </w:p>
        </w:tc>
        <w:tc>
          <w:tcPr>
            <w:tcW w:w="1258" w:type="pct"/>
            <w:tcBorders>
              <w:top w:val="single" w:color="auto" w:sz="4" w:space="0"/>
              <w:left w:val="single" w:color="auto" w:sz="4" w:space="0"/>
              <w:right w:val="single" w:color="auto" w:sz="4" w:space="0"/>
            </w:tcBorders>
            <w:shd w:val="clear" w:color="auto" w:fill="FFFFFF"/>
            <w:noWrap w:val="0"/>
            <w:vAlign w:val="center"/>
          </w:tcPr>
          <w:p w14:paraId="4D1C5B92">
            <w:pPr>
              <w:spacing w:line="300" w:lineRule="exact"/>
              <w:jc w:val="left"/>
              <w:rPr>
                <w:rFonts w:hint="default"/>
                <w:color w:val="000000"/>
                <w:kern w:val="0"/>
                <w:sz w:val="21"/>
                <w:szCs w:val="21"/>
                <w:lang w:bidi="en-US"/>
              </w:rPr>
            </w:pPr>
            <w:r>
              <w:rPr>
                <w:color w:val="000000"/>
                <w:kern w:val="0"/>
                <w:sz w:val="21"/>
                <w:szCs w:val="21"/>
                <w:lang w:bidi="en-US"/>
              </w:rPr>
              <w:t>适用于工业污泥、医疗废物和危险废物焚烧处理。</w:t>
            </w:r>
          </w:p>
        </w:tc>
      </w:tr>
      <w:tr w14:paraId="16142634">
        <w:tblPrEx>
          <w:tblCellMar>
            <w:top w:w="0" w:type="dxa"/>
            <w:left w:w="10" w:type="dxa"/>
            <w:bottom w:w="0" w:type="dxa"/>
            <w:right w:w="10" w:type="dxa"/>
          </w:tblCellMar>
        </w:tblPrEx>
        <w:trPr>
          <w:trHeight w:val="1924" w:hRule="exact"/>
          <w:jc w:val="center"/>
        </w:trPr>
        <w:tc>
          <w:tcPr>
            <w:tcW w:w="256" w:type="pct"/>
            <w:tcBorders>
              <w:top w:val="single" w:color="auto" w:sz="4" w:space="0"/>
              <w:left w:val="single" w:color="auto" w:sz="4" w:space="0"/>
            </w:tcBorders>
            <w:shd w:val="clear" w:color="auto" w:fill="FFFFFF"/>
            <w:noWrap w:val="0"/>
            <w:vAlign w:val="center"/>
          </w:tcPr>
          <w:p w14:paraId="2730CE40">
            <w:pPr>
              <w:jc w:val="center"/>
              <w:rPr>
                <w:rFonts w:hint="default"/>
                <w:color w:val="000000"/>
                <w:kern w:val="0"/>
                <w:sz w:val="21"/>
                <w:szCs w:val="21"/>
                <w:lang w:eastAsia="en-US" w:bidi="en-US"/>
              </w:rPr>
            </w:pPr>
            <w:r>
              <w:rPr>
                <w:color w:val="000000"/>
                <w:kern w:val="0"/>
                <w:sz w:val="21"/>
                <w:szCs w:val="21"/>
                <w:lang w:eastAsia="en-US" w:bidi="en-US"/>
              </w:rPr>
              <w:t>2</w:t>
            </w:r>
          </w:p>
        </w:tc>
        <w:tc>
          <w:tcPr>
            <w:tcW w:w="734" w:type="pct"/>
            <w:tcBorders>
              <w:top w:val="single" w:color="auto" w:sz="4" w:space="0"/>
              <w:left w:val="single" w:color="auto" w:sz="4" w:space="0"/>
            </w:tcBorders>
            <w:shd w:val="clear" w:color="auto" w:fill="FFFFFF"/>
            <w:noWrap w:val="0"/>
            <w:vAlign w:val="center"/>
          </w:tcPr>
          <w:p w14:paraId="625991A0">
            <w:pPr>
              <w:spacing w:line="300" w:lineRule="exact"/>
              <w:jc w:val="center"/>
              <w:rPr>
                <w:rFonts w:hint="default"/>
                <w:color w:val="000000"/>
                <w:kern w:val="0"/>
                <w:sz w:val="21"/>
                <w:szCs w:val="21"/>
                <w:lang w:bidi="en-US"/>
              </w:rPr>
            </w:pPr>
            <w:r>
              <w:rPr>
                <w:color w:val="000000"/>
                <w:kern w:val="0"/>
                <w:sz w:val="21"/>
                <w:szCs w:val="21"/>
                <w:lang w:bidi="en-US"/>
              </w:rPr>
              <w:t>医疗废物高温蒸煮设备</w:t>
            </w:r>
          </w:p>
        </w:tc>
        <w:tc>
          <w:tcPr>
            <w:tcW w:w="2751" w:type="pct"/>
            <w:tcBorders>
              <w:top w:val="single" w:color="auto" w:sz="4" w:space="0"/>
              <w:left w:val="single" w:color="auto" w:sz="4" w:space="0"/>
            </w:tcBorders>
            <w:shd w:val="clear" w:color="auto" w:fill="FFFFFF"/>
            <w:noWrap w:val="0"/>
            <w:vAlign w:val="center"/>
          </w:tcPr>
          <w:p w14:paraId="288055D4">
            <w:pPr>
              <w:spacing w:line="300" w:lineRule="exact"/>
              <w:jc w:val="left"/>
              <w:rPr>
                <w:rFonts w:hint="default"/>
                <w:color w:val="000000"/>
                <w:kern w:val="0"/>
                <w:sz w:val="21"/>
                <w:szCs w:val="21"/>
                <w:lang w:bidi="en-US"/>
              </w:rPr>
            </w:pPr>
            <w:r>
              <w:rPr>
                <w:color w:val="000000"/>
                <w:kern w:val="0"/>
                <w:sz w:val="21"/>
                <w:szCs w:val="21"/>
                <w:lang w:bidi="en-US"/>
              </w:rPr>
              <w:t>处理规模＞2t/d；</w:t>
            </w:r>
          </w:p>
          <w:p w14:paraId="7FBB545F">
            <w:pPr>
              <w:spacing w:line="300" w:lineRule="exact"/>
              <w:jc w:val="left"/>
              <w:rPr>
                <w:rFonts w:hint="default"/>
                <w:color w:val="000000"/>
                <w:kern w:val="0"/>
                <w:sz w:val="21"/>
                <w:szCs w:val="21"/>
                <w:lang w:bidi="en-US"/>
              </w:rPr>
            </w:pPr>
            <w:r>
              <w:rPr>
                <w:color w:val="000000"/>
                <w:kern w:val="0"/>
                <w:sz w:val="21"/>
                <w:szCs w:val="21"/>
                <w:lang w:bidi="en-US"/>
              </w:rPr>
              <w:t>VOCs排放量＜20mg/Nm</w:t>
            </w:r>
            <w:r>
              <w:rPr>
                <w:color w:val="000000"/>
                <w:kern w:val="0"/>
                <w:sz w:val="21"/>
                <w:szCs w:val="21"/>
                <w:vertAlign w:val="superscript"/>
                <w:lang w:bidi="en-US"/>
              </w:rPr>
              <w:t>3</w:t>
            </w:r>
            <w:r>
              <w:rPr>
                <w:color w:val="000000"/>
                <w:kern w:val="0"/>
                <w:sz w:val="21"/>
                <w:szCs w:val="21"/>
                <w:lang w:bidi="en-US"/>
              </w:rPr>
              <w:t>；</w:t>
            </w:r>
          </w:p>
          <w:p w14:paraId="357F0089">
            <w:pPr>
              <w:spacing w:line="300" w:lineRule="exact"/>
              <w:jc w:val="left"/>
              <w:rPr>
                <w:rFonts w:hint="default"/>
                <w:color w:val="000000"/>
                <w:kern w:val="0"/>
                <w:sz w:val="21"/>
                <w:szCs w:val="21"/>
                <w:lang w:bidi="en-US"/>
              </w:rPr>
            </w:pPr>
            <w:r>
              <w:rPr>
                <w:color w:val="000000"/>
                <w:kern w:val="0"/>
                <w:sz w:val="21"/>
                <w:szCs w:val="21"/>
                <w:lang w:bidi="en-US"/>
              </w:rPr>
              <w:t>消毒效果：微生物杀灭对数值＞4或微生物灭活效率＞99.99%；</w:t>
            </w:r>
          </w:p>
          <w:p w14:paraId="01EB5969">
            <w:pPr>
              <w:spacing w:line="300" w:lineRule="exact"/>
              <w:jc w:val="left"/>
              <w:rPr>
                <w:rFonts w:hint="default"/>
                <w:color w:val="000000"/>
                <w:kern w:val="0"/>
                <w:sz w:val="21"/>
                <w:szCs w:val="21"/>
                <w:lang w:bidi="en-US"/>
              </w:rPr>
            </w:pPr>
            <w:r>
              <w:rPr>
                <w:color w:val="000000"/>
                <w:kern w:val="0"/>
                <w:sz w:val="21"/>
                <w:szCs w:val="21"/>
                <w:lang w:bidi="en-US"/>
              </w:rPr>
              <w:t>其他参数符合国家相关标准。</w:t>
            </w:r>
          </w:p>
        </w:tc>
        <w:tc>
          <w:tcPr>
            <w:tcW w:w="1258" w:type="pct"/>
            <w:tcBorders>
              <w:top w:val="single" w:color="auto" w:sz="4" w:space="0"/>
              <w:left w:val="single" w:color="auto" w:sz="4" w:space="0"/>
              <w:right w:val="single" w:color="auto" w:sz="4" w:space="0"/>
            </w:tcBorders>
            <w:shd w:val="clear" w:color="auto" w:fill="FFFFFF"/>
            <w:noWrap w:val="0"/>
            <w:vAlign w:val="center"/>
          </w:tcPr>
          <w:p w14:paraId="5611968F">
            <w:pPr>
              <w:spacing w:line="300" w:lineRule="exact"/>
              <w:jc w:val="left"/>
              <w:rPr>
                <w:rFonts w:hint="default"/>
                <w:color w:val="000000"/>
                <w:kern w:val="0"/>
                <w:sz w:val="21"/>
                <w:szCs w:val="21"/>
                <w:lang w:bidi="en-US"/>
              </w:rPr>
            </w:pPr>
            <w:r>
              <w:rPr>
                <w:color w:val="000000"/>
                <w:kern w:val="0"/>
                <w:sz w:val="21"/>
                <w:szCs w:val="21"/>
                <w:lang w:bidi="en-US"/>
              </w:rPr>
              <w:t>适用于量小的医疗废物的处理处置。</w:t>
            </w:r>
          </w:p>
        </w:tc>
      </w:tr>
      <w:tr w14:paraId="7405B708">
        <w:tblPrEx>
          <w:tblCellMar>
            <w:top w:w="0" w:type="dxa"/>
            <w:left w:w="10" w:type="dxa"/>
            <w:bottom w:w="0" w:type="dxa"/>
            <w:right w:w="10" w:type="dxa"/>
          </w:tblCellMar>
        </w:tblPrEx>
        <w:trPr>
          <w:trHeight w:val="2973" w:hRule="exact"/>
          <w:jc w:val="center"/>
        </w:trPr>
        <w:tc>
          <w:tcPr>
            <w:tcW w:w="256" w:type="pct"/>
            <w:tcBorders>
              <w:top w:val="single" w:color="auto" w:sz="4" w:space="0"/>
              <w:left w:val="single" w:color="auto" w:sz="4" w:space="0"/>
            </w:tcBorders>
            <w:shd w:val="clear" w:color="auto" w:fill="FFFFFF"/>
            <w:noWrap w:val="0"/>
            <w:vAlign w:val="center"/>
          </w:tcPr>
          <w:p w14:paraId="2A1CA082">
            <w:pPr>
              <w:jc w:val="center"/>
              <w:rPr>
                <w:rFonts w:hint="default"/>
                <w:color w:val="000000"/>
                <w:kern w:val="0"/>
                <w:sz w:val="21"/>
                <w:szCs w:val="21"/>
                <w:lang w:eastAsia="en-US" w:bidi="en-US"/>
              </w:rPr>
            </w:pPr>
            <w:r>
              <w:rPr>
                <w:color w:val="000000"/>
                <w:kern w:val="0"/>
                <w:sz w:val="21"/>
                <w:szCs w:val="21"/>
                <w:lang w:eastAsia="en-US" w:bidi="en-US"/>
              </w:rPr>
              <w:t>3</w:t>
            </w:r>
          </w:p>
        </w:tc>
        <w:tc>
          <w:tcPr>
            <w:tcW w:w="734" w:type="pct"/>
            <w:tcBorders>
              <w:top w:val="single" w:color="auto" w:sz="4" w:space="0"/>
              <w:left w:val="single" w:color="auto" w:sz="4" w:space="0"/>
            </w:tcBorders>
            <w:shd w:val="clear" w:color="auto" w:fill="FFFFFF"/>
            <w:noWrap w:val="0"/>
            <w:vAlign w:val="center"/>
          </w:tcPr>
          <w:p w14:paraId="12F6ED4A">
            <w:pPr>
              <w:spacing w:line="300" w:lineRule="exact"/>
              <w:ind w:firstLine="160"/>
              <w:jc w:val="left"/>
              <w:rPr>
                <w:rFonts w:hint="default"/>
                <w:color w:val="000000"/>
                <w:kern w:val="0"/>
                <w:sz w:val="21"/>
                <w:szCs w:val="21"/>
                <w:lang w:bidi="en-US"/>
              </w:rPr>
            </w:pPr>
            <w:r>
              <w:rPr>
                <w:color w:val="000000"/>
                <w:kern w:val="0"/>
                <w:sz w:val="21"/>
                <w:szCs w:val="21"/>
                <w:lang w:bidi="en-US"/>
              </w:rPr>
              <w:t>医疗废物热解焚烧</w:t>
            </w:r>
          </w:p>
          <w:p w14:paraId="06480E8E">
            <w:pPr>
              <w:spacing w:line="300" w:lineRule="exact"/>
              <w:jc w:val="center"/>
              <w:rPr>
                <w:rFonts w:hint="default"/>
                <w:color w:val="000000"/>
                <w:kern w:val="0"/>
                <w:sz w:val="21"/>
                <w:szCs w:val="21"/>
                <w:lang w:bidi="en-US"/>
              </w:rPr>
            </w:pPr>
            <w:r>
              <w:rPr>
                <w:color w:val="000000"/>
                <w:kern w:val="0"/>
                <w:sz w:val="21"/>
                <w:szCs w:val="21"/>
                <w:lang w:bidi="en-US"/>
              </w:rPr>
              <w:t>炉(A-B炉)</w:t>
            </w:r>
          </w:p>
        </w:tc>
        <w:tc>
          <w:tcPr>
            <w:tcW w:w="2751" w:type="pct"/>
            <w:tcBorders>
              <w:top w:val="single" w:color="auto" w:sz="4" w:space="0"/>
              <w:left w:val="single" w:color="auto" w:sz="4" w:space="0"/>
            </w:tcBorders>
            <w:shd w:val="clear" w:color="auto" w:fill="FFFFFF"/>
            <w:noWrap w:val="0"/>
            <w:vAlign w:val="center"/>
          </w:tcPr>
          <w:p w14:paraId="07FF02C8">
            <w:pPr>
              <w:spacing w:line="300" w:lineRule="exact"/>
              <w:jc w:val="left"/>
              <w:rPr>
                <w:rFonts w:hint="default"/>
                <w:color w:val="000000"/>
                <w:kern w:val="0"/>
                <w:sz w:val="21"/>
                <w:szCs w:val="21"/>
                <w:lang w:bidi="en-US"/>
              </w:rPr>
            </w:pPr>
            <w:r>
              <w:rPr>
                <w:color w:val="000000"/>
                <w:kern w:val="0"/>
                <w:sz w:val="21"/>
                <w:szCs w:val="21"/>
                <w:lang w:bidi="en-US"/>
              </w:rPr>
              <w:t>处理规模＞5t/d；</w:t>
            </w:r>
          </w:p>
          <w:p w14:paraId="0786C6FA">
            <w:pPr>
              <w:spacing w:line="300" w:lineRule="exact"/>
              <w:jc w:val="left"/>
              <w:rPr>
                <w:rFonts w:hint="default"/>
                <w:color w:val="000000"/>
                <w:kern w:val="0"/>
                <w:sz w:val="21"/>
                <w:szCs w:val="21"/>
                <w:lang w:bidi="en-US"/>
              </w:rPr>
            </w:pPr>
            <w:r>
              <w:rPr>
                <w:color w:val="000000"/>
                <w:kern w:val="0"/>
                <w:sz w:val="21"/>
                <w:szCs w:val="21"/>
                <w:lang w:bidi="en-US"/>
              </w:rPr>
              <w:t>焚烧温度＞850℃；</w:t>
            </w:r>
          </w:p>
          <w:p w14:paraId="0BBA31C5">
            <w:pPr>
              <w:spacing w:line="300" w:lineRule="exact"/>
              <w:jc w:val="left"/>
              <w:rPr>
                <w:rFonts w:hint="default"/>
                <w:color w:val="000000"/>
                <w:kern w:val="0"/>
                <w:sz w:val="21"/>
                <w:szCs w:val="21"/>
                <w:lang w:bidi="en-US"/>
              </w:rPr>
            </w:pPr>
            <w:r>
              <w:rPr>
                <w:color w:val="000000"/>
                <w:kern w:val="0"/>
                <w:sz w:val="21"/>
                <w:szCs w:val="21"/>
                <w:lang w:bidi="en-US"/>
              </w:rPr>
              <w:t>烟气停留时间＞2s；</w:t>
            </w:r>
          </w:p>
          <w:p w14:paraId="41D6CF3D">
            <w:pPr>
              <w:spacing w:line="300" w:lineRule="exact"/>
              <w:jc w:val="left"/>
              <w:rPr>
                <w:rFonts w:hint="default"/>
                <w:color w:val="000000"/>
                <w:kern w:val="0"/>
                <w:sz w:val="21"/>
                <w:szCs w:val="21"/>
                <w:lang w:bidi="en-US"/>
              </w:rPr>
            </w:pPr>
            <w:r>
              <w:rPr>
                <w:color w:val="000000"/>
                <w:kern w:val="0"/>
                <w:sz w:val="21"/>
                <w:szCs w:val="21"/>
                <w:lang w:bidi="en-US"/>
              </w:rPr>
              <w:t>焚烧残渣热灼减率＜5%；</w:t>
            </w:r>
          </w:p>
          <w:p w14:paraId="310381B1">
            <w:pPr>
              <w:spacing w:line="300" w:lineRule="exact"/>
              <w:jc w:val="left"/>
              <w:rPr>
                <w:rFonts w:hint="default"/>
                <w:color w:val="000000"/>
                <w:kern w:val="0"/>
                <w:sz w:val="21"/>
                <w:szCs w:val="21"/>
                <w:lang w:bidi="en-US"/>
              </w:rPr>
            </w:pPr>
            <w:r>
              <w:rPr>
                <w:color w:val="000000"/>
                <w:kern w:val="0"/>
                <w:sz w:val="21"/>
                <w:szCs w:val="21"/>
                <w:lang w:bidi="en-US"/>
              </w:rPr>
              <w:t>烟气排放达到《危险废物焚烧污染控制标准》(GB18484-2001)；</w:t>
            </w:r>
          </w:p>
          <w:p w14:paraId="10F109D5">
            <w:pPr>
              <w:spacing w:line="300" w:lineRule="exact"/>
              <w:jc w:val="left"/>
              <w:rPr>
                <w:rFonts w:hint="default"/>
                <w:color w:val="000000"/>
                <w:kern w:val="0"/>
                <w:sz w:val="21"/>
                <w:szCs w:val="21"/>
                <w:lang w:bidi="en-US"/>
              </w:rPr>
            </w:pPr>
            <w:r>
              <w:rPr>
                <w:color w:val="000000"/>
                <w:kern w:val="0"/>
                <w:sz w:val="21"/>
                <w:szCs w:val="21"/>
                <w:lang w:bidi="en-US"/>
              </w:rPr>
              <w:t>其他参数符合《危险废物集中焚烧处置工程建设技术规范》(HJ/T176-2005)。</w:t>
            </w:r>
          </w:p>
        </w:tc>
        <w:tc>
          <w:tcPr>
            <w:tcW w:w="1258" w:type="pct"/>
            <w:tcBorders>
              <w:top w:val="single" w:color="auto" w:sz="4" w:space="0"/>
              <w:left w:val="single" w:color="auto" w:sz="4" w:space="0"/>
              <w:right w:val="single" w:color="auto" w:sz="4" w:space="0"/>
            </w:tcBorders>
            <w:shd w:val="clear" w:color="auto" w:fill="FFFFFF"/>
            <w:noWrap w:val="0"/>
            <w:vAlign w:val="center"/>
          </w:tcPr>
          <w:p w14:paraId="3EA79E3A">
            <w:pPr>
              <w:spacing w:line="300" w:lineRule="exact"/>
              <w:jc w:val="left"/>
              <w:rPr>
                <w:rFonts w:hint="default"/>
                <w:color w:val="000000"/>
                <w:kern w:val="0"/>
                <w:sz w:val="21"/>
                <w:szCs w:val="21"/>
                <w:lang w:bidi="en-US"/>
              </w:rPr>
            </w:pPr>
            <w:r>
              <w:rPr>
                <w:color w:val="000000"/>
                <w:kern w:val="0"/>
                <w:sz w:val="21"/>
                <w:szCs w:val="21"/>
                <w:lang w:bidi="en-US"/>
              </w:rPr>
              <w:t>适用于医疗废物的处理处置。</w:t>
            </w:r>
          </w:p>
        </w:tc>
      </w:tr>
      <w:tr w14:paraId="7B1455C8">
        <w:tblPrEx>
          <w:tblCellMar>
            <w:top w:w="0" w:type="dxa"/>
            <w:left w:w="10" w:type="dxa"/>
            <w:bottom w:w="0" w:type="dxa"/>
            <w:right w:w="10" w:type="dxa"/>
          </w:tblCellMar>
        </w:tblPrEx>
        <w:trPr>
          <w:trHeight w:val="2406" w:hRule="exact"/>
          <w:jc w:val="center"/>
        </w:trPr>
        <w:tc>
          <w:tcPr>
            <w:tcW w:w="256" w:type="pct"/>
            <w:tcBorders>
              <w:top w:val="single" w:color="auto" w:sz="4" w:space="0"/>
              <w:left w:val="single" w:color="auto" w:sz="4" w:space="0"/>
              <w:bottom w:val="single" w:color="auto" w:sz="4" w:space="0"/>
            </w:tcBorders>
            <w:shd w:val="clear" w:color="auto" w:fill="FFFFFF"/>
            <w:noWrap w:val="0"/>
            <w:vAlign w:val="center"/>
          </w:tcPr>
          <w:p w14:paraId="4E264936">
            <w:pPr>
              <w:jc w:val="center"/>
              <w:rPr>
                <w:rFonts w:hint="default"/>
                <w:color w:val="000000"/>
                <w:kern w:val="0"/>
                <w:sz w:val="21"/>
                <w:szCs w:val="21"/>
                <w:lang w:eastAsia="en-US" w:bidi="en-US"/>
              </w:rPr>
            </w:pPr>
            <w:r>
              <w:rPr>
                <w:color w:val="000000"/>
                <w:kern w:val="0"/>
                <w:sz w:val="21"/>
                <w:szCs w:val="21"/>
                <w:lang w:eastAsia="en-US" w:bidi="en-US"/>
              </w:rPr>
              <w:t>4</w:t>
            </w:r>
          </w:p>
        </w:tc>
        <w:tc>
          <w:tcPr>
            <w:tcW w:w="734" w:type="pct"/>
            <w:tcBorders>
              <w:top w:val="single" w:color="auto" w:sz="4" w:space="0"/>
              <w:left w:val="single" w:color="auto" w:sz="4" w:space="0"/>
              <w:bottom w:val="single" w:color="auto" w:sz="4" w:space="0"/>
            </w:tcBorders>
            <w:shd w:val="clear" w:color="auto" w:fill="FFFFFF"/>
            <w:noWrap w:val="0"/>
            <w:vAlign w:val="center"/>
          </w:tcPr>
          <w:p w14:paraId="552272BB">
            <w:pPr>
              <w:spacing w:line="300" w:lineRule="exact"/>
              <w:jc w:val="center"/>
              <w:rPr>
                <w:rFonts w:hint="default"/>
                <w:color w:val="000000"/>
                <w:kern w:val="0"/>
                <w:sz w:val="21"/>
                <w:szCs w:val="21"/>
                <w:lang w:bidi="en-US"/>
              </w:rPr>
            </w:pPr>
            <w:r>
              <w:rPr>
                <w:color w:val="000000"/>
                <w:kern w:val="0"/>
                <w:sz w:val="21"/>
                <w:szCs w:val="21"/>
                <w:lang w:bidi="en-US"/>
              </w:rPr>
              <w:t>废铅蓄电池处理回收设备</w:t>
            </w:r>
          </w:p>
        </w:tc>
        <w:tc>
          <w:tcPr>
            <w:tcW w:w="2751" w:type="pct"/>
            <w:tcBorders>
              <w:top w:val="single" w:color="auto" w:sz="4" w:space="0"/>
              <w:left w:val="single" w:color="auto" w:sz="4" w:space="0"/>
              <w:bottom w:val="single" w:color="auto" w:sz="4" w:space="0"/>
            </w:tcBorders>
            <w:shd w:val="clear" w:color="auto" w:fill="FFFFFF"/>
            <w:noWrap w:val="0"/>
            <w:vAlign w:val="center"/>
          </w:tcPr>
          <w:p w14:paraId="61C59415">
            <w:pPr>
              <w:spacing w:line="300" w:lineRule="exact"/>
              <w:jc w:val="left"/>
              <w:rPr>
                <w:rFonts w:hint="default"/>
                <w:color w:val="000000"/>
                <w:kern w:val="0"/>
                <w:sz w:val="21"/>
                <w:szCs w:val="21"/>
                <w:lang w:bidi="en-US"/>
              </w:rPr>
            </w:pPr>
            <w:r>
              <w:rPr>
                <w:color w:val="000000"/>
                <w:kern w:val="0"/>
                <w:sz w:val="21"/>
                <w:szCs w:val="21"/>
                <w:lang w:bidi="en-US"/>
              </w:rPr>
              <w:t>年处理量＞5万t；</w:t>
            </w:r>
          </w:p>
          <w:p w14:paraId="75209AC7">
            <w:pPr>
              <w:spacing w:line="300" w:lineRule="exact"/>
              <w:jc w:val="left"/>
              <w:rPr>
                <w:rFonts w:hint="default"/>
                <w:color w:val="000000"/>
                <w:kern w:val="0"/>
                <w:sz w:val="21"/>
                <w:szCs w:val="21"/>
                <w:lang w:bidi="en-US"/>
              </w:rPr>
            </w:pPr>
            <w:r>
              <w:rPr>
                <w:color w:val="000000"/>
                <w:kern w:val="0"/>
                <w:sz w:val="21"/>
                <w:szCs w:val="21"/>
                <w:lang w:bidi="en-US"/>
              </w:rPr>
              <w:t>酸液回收率＞98%；</w:t>
            </w:r>
          </w:p>
          <w:p w14:paraId="0B78498C">
            <w:pPr>
              <w:spacing w:line="300" w:lineRule="exact"/>
              <w:jc w:val="left"/>
              <w:rPr>
                <w:rFonts w:hint="default"/>
                <w:color w:val="000000"/>
                <w:kern w:val="0"/>
                <w:sz w:val="21"/>
                <w:szCs w:val="21"/>
                <w:lang w:bidi="en-US"/>
              </w:rPr>
            </w:pPr>
            <w:r>
              <w:rPr>
                <w:color w:val="000000"/>
                <w:kern w:val="0"/>
                <w:sz w:val="21"/>
                <w:szCs w:val="21"/>
                <w:lang w:bidi="en-US"/>
              </w:rPr>
              <w:t>铅回收率＞98%；</w:t>
            </w:r>
          </w:p>
          <w:p w14:paraId="2A381EF4">
            <w:pPr>
              <w:spacing w:line="300" w:lineRule="exact"/>
              <w:jc w:val="left"/>
              <w:rPr>
                <w:rFonts w:hint="default"/>
                <w:color w:val="000000"/>
                <w:kern w:val="0"/>
                <w:sz w:val="21"/>
                <w:szCs w:val="21"/>
                <w:lang w:bidi="en-US"/>
              </w:rPr>
            </w:pPr>
            <w:r>
              <w:rPr>
                <w:color w:val="000000"/>
                <w:kern w:val="0"/>
                <w:sz w:val="21"/>
                <w:szCs w:val="21"/>
                <w:lang w:bidi="en-US"/>
              </w:rPr>
              <w:t>塑料回收率＞98%；</w:t>
            </w:r>
          </w:p>
          <w:p w14:paraId="0D085C00">
            <w:pPr>
              <w:spacing w:line="300" w:lineRule="exact"/>
              <w:jc w:val="left"/>
              <w:rPr>
                <w:rFonts w:hint="default"/>
                <w:color w:val="000000"/>
                <w:kern w:val="0"/>
                <w:sz w:val="21"/>
                <w:szCs w:val="21"/>
                <w:lang w:bidi="en-US"/>
              </w:rPr>
            </w:pPr>
            <w:r>
              <w:rPr>
                <w:color w:val="000000"/>
                <w:kern w:val="0"/>
                <w:sz w:val="21"/>
                <w:szCs w:val="21"/>
                <w:lang w:bidi="en-US"/>
              </w:rPr>
              <w:t>废电解液综合利用率＞98%；</w:t>
            </w:r>
          </w:p>
          <w:p w14:paraId="1BF9738D">
            <w:pPr>
              <w:spacing w:line="300" w:lineRule="exact"/>
              <w:jc w:val="left"/>
              <w:rPr>
                <w:rFonts w:hint="default"/>
                <w:color w:val="000000"/>
                <w:kern w:val="0"/>
                <w:sz w:val="21"/>
                <w:szCs w:val="21"/>
                <w:lang w:bidi="en-US"/>
              </w:rPr>
            </w:pPr>
            <w:r>
              <w:rPr>
                <w:color w:val="000000"/>
                <w:kern w:val="0"/>
                <w:sz w:val="21"/>
                <w:szCs w:val="21"/>
                <w:lang w:bidi="en-US"/>
              </w:rPr>
              <w:t>其他参数符合国家相关标准。</w:t>
            </w:r>
          </w:p>
        </w:tc>
        <w:tc>
          <w:tcPr>
            <w:tcW w:w="1258"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2CA18D85">
            <w:pPr>
              <w:spacing w:line="300" w:lineRule="exact"/>
              <w:jc w:val="left"/>
              <w:rPr>
                <w:rFonts w:hint="default"/>
                <w:color w:val="000000"/>
                <w:kern w:val="0"/>
                <w:sz w:val="21"/>
                <w:szCs w:val="21"/>
                <w:lang w:bidi="en-US"/>
              </w:rPr>
            </w:pPr>
            <w:r>
              <w:rPr>
                <w:color w:val="000000"/>
                <w:kern w:val="0"/>
                <w:sz w:val="21"/>
                <w:szCs w:val="21"/>
                <w:lang w:bidi="en-US"/>
              </w:rPr>
              <w:t>适用于废铅蓄电池的处理回收。</w:t>
            </w:r>
          </w:p>
        </w:tc>
      </w:tr>
    </w:tbl>
    <w:p w14:paraId="3ECF5A7F">
      <w:pPr>
        <w:spacing w:line="1" w:lineRule="exact"/>
        <w:jc w:val="left"/>
        <w:rPr>
          <w:rFonts w:hint="default"/>
          <w:color w:val="000000"/>
          <w:kern w:val="0"/>
          <w:sz w:val="21"/>
          <w:szCs w:val="21"/>
          <w:lang w:bidi="en-US"/>
        </w:rPr>
      </w:pPr>
      <w:r>
        <w:rPr>
          <w:color w:val="000000"/>
          <w:kern w:val="0"/>
          <w:sz w:val="21"/>
          <w:szCs w:val="21"/>
          <w:lang w:bidi="en-US"/>
        </w:rPr>
        <w:br w:type="page"/>
      </w:r>
    </w:p>
    <w:tbl>
      <w:tblPr>
        <w:tblStyle w:val="3"/>
        <w:tblW w:w="4998" w:type="pct"/>
        <w:jc w:val="center"/>
        <w:tblLayout w:type="autofit"/>
        <w:tblCellMar>
          <w:top w:w="0" w:type="dxa"/>
          <w:left w:w="10" w:type="dxa"/>
          <w:bottom w:w="0" w:type="dxa"/>
          <w:right w:w="10" w:type="dxa"/>
        </w:tblCellMar>
      </w:tblPr>
      <w:tblGrid>
        <w:gridCol w:w="426"/>
        <w:gridCol w:w="1222"/>
        <w:gridCol w:w="4580"/>
        <w:gridCol w:w="2094"/>
      </w:tblGrid>
      <w:tr w14:paraId="05F55C09">
        <w:tblPrEx>
          <w:tblCellMar>
            <w:top w:w="0" w:type="dxa"/>
            <w:left w:w="10" w:type="dxa"/>
            <w:bottom w:w="0" w:type="dxa"/>
            <w:right w:w="10" w:type="dxa"/>
          </w:tblCellMar>
        </w:tblPrEx>
        <w:trPr>
          <w:trHeight w:val="480" w:hRule="exact"/>
          <w:jc w:val="center"/>
        </w:trPr>
        <w:tc>
          <w:tcPr>
            <w:tcW w:w="256" w:type="pct"/>
            <w:tcBorders>
              <w:top w:val="single" w:color="auto" w:sz="4" w:space="0"/>
              <w:left w:val="single" w:color="auto" w:sz="4" w:space="0"/>
            </w:tcBorders>
            <w:shd w:val="clear" w:color="auto" w:fill="FFFFFF"/>
            <w:noWrap w:val="0"/>
            <w:vAlign w:val="center"/>
          </w:tcPr>
          <w:p w14:paraId="76B6351E">
            <w:pPr>
              <w:jc w:val="center"/>
              <w:rPr>
                <w:rFonts w:hint="default"/>
                <w:b/>
                <w:bCs/>
                <w:color w:val="000000"/>
                <w:kern w:val="0"/>
                <w:sz w:val="21"/>
                <w:szCs w:val="21"/>
                <w:lang w:eastAsia="en-US" w:bidi="en-US"/>
              </w:rPr>
            </w:pPr>
            <w:r>
              <w:rPr>
                <w:b/>
                <w:bCs/>
                <w:color w:val="000000"/>
                <w:kern w:val="0"/>
                <w:sz w:val="21"/>
                <w:szCs w:val="21"/>
                <w:lang w:eastAsia="en-US" w:bidi="en-US"/>
              </w:rPr>
              <w:t>序号</w:t>
            </w:r>
          </w:p>
        </w:tc>
        <w:tc>
          <w:tcPr>
            <w:tcW w:w="734" w:type="pct"/>
            <w:tcBorders>
              <w:top w:val="single" w:color="auto" w:sz="4" w:space="0"/>
              <w:left w:val="single" w:color="auto" w:sz="4" w:space="0"/>
            </w:tcBorders>
            <w:shd w:val="clear" w:color="auto" w:fill="FFFFFF"/>
            <w:noWrap w:val="0"/>
            <w:vAlign w:val="center"/>
          </w:tcPr>
          <w:p w14:paraId="3ACB9740">
            <w:pPr>
              <w:jc w:val="center"/>
              <w:rPr>
                <w:rFonts w:hint="default"/>
                <w:b/>
                <w:bCs/>
                <w:color w:val="000000"/>
                <w:kern w:val="0"/>
                <w:sz w:val="21"/>
                <w:szCs w:val="21"/>
                <w:lang w:eastAsia="en-US" w:bidi="en-US"/>
              </w:rPr>
            </w:pPr>
            <w:r>
              <w:rPr>
                <w:b/>
                <w:bCs/>
                <w:color w:val="000000"/>
                <w:kern w:val="0"/>
                <w:sz w:val="21"/>
                <w:szCs w:val="21"/>
                <w:lang w:eastAsia="en-US" w:bidi="en-US"/>
              </w:rPr>
              <w:t>设备名称</w:t>
            </w:r>
          </w:p>
        </w:tc>
        <w:tc>
          <w:tcPr>
            <w:tcW w:w="2751" w:type="pct"/>
            <w:tcBorders>
              <w:top w:val="single" w:color="auto" w:sz="4" w:space="0"/>
              <w:left w:val="single" w:color="auto" w:sz="4" w:space="0"/>
            </w:tcBorders>
            <w:shd w:val="clear" w:color="auto" w:fill="FFFFFF"/>
            <w:noWrap w:val="0"/>
            <w:vAlign w:val="center"/>
          </w:tcPr>
          <w:p w14:paraId="4B179451">
            <w:pPr>
              <w:tabs>
                <w:tab w:val="left" w:pos="634"/>
              </w:tabs>
              <w:jc w:val="center"/>
              <w:rPr>
                <w:rFonts w:hint="default"/>
                <w:b/>
                <w:bCs/>
                <w:color w:val="000000"/>
                <w:kern w:val="0"/>
                <w:sz w:val="21"/>
                <w:szCs w:val="21"/>
                <w:lang w:eastAsia="en-US" w:bidi="en-US"/>
              </w:rPr>
            </w:pPr>
            <w:r>
              <w:rPr>
                <w:b/>
                <w:bCs/>
                <w:color w:val="000000"/>
                <w:kern w:val="0"/>
                <w:sz w:val="21"/>
                <w:szCs w:val="21"/>
                <w:lang w:eastAsia="en-US" w:bidi="en-US"/>
              </w:rPr>
              <w:t>性能参数</w:t>
            </w:r>
          </w:p>
        </w:tc>
        <w:tc>
          <w:tcPr>
            <w:tcW w:w="1258" w:type="pct"/>
            <w:tcBorders>
              <w:top w:val="single" w:color="auto" w:sz="4" w:space="0"/>
              <w:left w:val="single" w:color="auto" w:sz="4" w:space="0"/>
              <w:right w:val="single" w:color="auto" w:sz="4" w:space="0"/>
            </w:tcBorders>
            <w:shd w:val="clear" w:color="auto" w:fill="FFFFFF"/>
            <w:noWrap w:val="0"/>
            <w:vAlign w:val="center"/>
          </w:tcPr>
          <w:p w14:paraId="1F094D63">
            <w:pPr>
              <w:jc w:val="center"/>
              <w:rPr>
                <w:rFonts w:hint="default"/>
                <w:b/>
                <w:bCs/>
                <w:color w:val="000000"/>
                <w:kern w:val="0"/>
                <w:sz w:val="21"/>
                <w:szCs w:val="21"/>
                <w:lang w:eastAsia="en-US" w:bidi="en-US"/>
              </w:rPr>
            </w:pPr>
            <w:r>
              <w:rPr>
                <w:b/>
                <w:bCs/>
                <w:color w:val="000000"/>
                <w:kern w:val="0"/>
                <w:sz w:val="21"/>
                <w:szCs w:val="21"/>
                <w:lang w:eastAsia="en-US" w:bidi="en-US"/>
              </w:rPr>
              <w:t>应用领域</w:t>
            </w:r>
          </w:p>
        </w:tc>
      </w:tr>
      <w:tr w14:paraId="6C395F3E">
        <w:tblPrEx>
          <w:tblCellMar>
            <w:top w:w="0" w:type="dxa"/>
            <w:left w:w="10" w:type="dxa"/>
            <w:bottom w:w="0" w:type="dxa"/>
            <w:right w:w="10" w:type="dxa"/>
          </w:tblCellMar>
        </w:tblPrEx>
        <w:trPr>
          <w:trHeight w:val="2511" w:hRule="exact"/>
          <w:jc w:val="center"/>
        </w:trPr>
        <w:tc>
          <w:tcPr>
            <w:tcW w:w="256" w:type="pct"/>
            <w:tcBorders>
              <w:top w:val="single" w:color="auto" w:sz="4" w:space="0"/>
              <w:left w:val="single" w:color="auto" w:sz="4" w:space="0"/>
            </w:tcBorders>
            <w:shd w:val="clear" w:color="auto" w:fill="FFFFFF"/>
            <w:noWrap w:val="0"/>
            <w:vAlign w:val="center"/>
          </w:tcPr>
          <w:p w14:paraId="135CD07F">
            <w:pPr>
              <w:jc w:val="center"/>
              <w:rPr>
                <w:rFonts w:hint="default"/>
                <w:color w:val="000000"/>
                <w:kern w:val="0"/>
                <w:sz w:val="21"/>
                <w:szCs w:val="21"/>
                <w:lang w:eastAsia="en-US" w:bidi="en-US"/>
              </w:rPr>
            </w:pPr>
            <w:r>
              <w:rPr>
                <w:color w:val="000000"/>
                <w:kern w:val="0"/>
                <w:sz w:val="21"/>
                <w:szCs w:val="21"/>
                <w:lang w:eastAsia="en-US" w:bidi="en-US"/>
              </w:rPr>
              <w:t>5</w:t>
            </w:r>
          </w:p>
        </w:tc>
        <w:tc>
          <w:tcPr>
            <w:tcW w:w="734" w:type="pct"/>
            <w:tcBorders>
              <w:top w:val="single" w:color="auto" w:sz="4" w:space="0"/>
              <w:left w:val="single" w:color="auto" w:sz="4" w:space="0"/>
            </w:tcBorders>
            <w:shd w:val="clear" w:color="auto" w:fill="FFFFFF"/>
            <w:noWrap w:val="0"/>
            <w:vAlign w:val="center"/>
          </w:tcPr>
          <w:p w14:paraId="5DC58227">
            <w:pPr>
              <w:spacing w:line="300" w:lineRule="exact"/>
              <w:jc w:val="center"/>
              <w:rPr>
                <w:rFonts w:hint="default"/>
                <w:color w:val="000000"/>
                <w:kern w:val="0"/>
                <w:sz w:val="21"/>
                <w:szCs w:val="21"/>
                <w:lang w:eastAsia="en-US" w:bidi="en-US"/>
              </w:rPr>
            </w:pPr>
            <w:r>
              <w:rPr>
                <w:color w:val="000000"/>
                <w:kern w:val="0"/>
                <w:sz w:val="21"/>
                <w:szCs w:val="21"/>
                <w:lang w:eastAsia="en-US" w:bidi="en-US"/>
              </w:rPr>
              <w:t>流化床焚烧炉</w:t>
            </w:r>
          </w:p>
        </w:tc>
        <w:tc>
          <w:tcPr>
            <w:tcW w:w="2751" w:type="pct"/>
            <w:tcBorders>
              <w:top w:val="single" w:color="auto" w:sz="4" w:space="0"/>
              <w:left w:val="single" w:color="auto" w:sz="4" w:space="0"/>
            </w:tcBorders>
            <w:shd w:val="clear" w:color="auto" w:fill="FFFFFF"/>
            <w:noWrap w:val="0"/>
            <w:vAlign w:val="center"/>
          </w:tcPr>
          <w:p w14:paraId="0DB83459">
            <w:pPr>
              <w:spacing w:line="300" w:lineRule="exact"/>
              <w:jc w:val="left"/>
              <w:rPr>
                <w:rFonts w:hint="default"/>
                <w:color w:val="000000"/>
                <w:kern w:val="0"/>
                <w:sz w:val="21"/>
                <w:szCs w:val="21"/>
                <w:lang w:bidi="en-US"/>
              </w:rPr>
            </w:pPr>
            <w:r>
              <w:rPr>
                <w:color w:val="000000"/>
                <w:kern w:val="0"/>
                <w:sz w:val="21"/>
                <w:szCs w:val="21"/>
                <w:lang w:bidi="en-US"/>
              </w:rPr>
              <w:t>处理能力＞50t/d；</w:t>
            </w:r>
          </w:p>
          <w:p w14:paraId="255C85F9">
            <w:pPr>
              <w:spacing w:line="300" w:lineRule="exact"/>
              <w:jc w:val="left"/>
              <w:rPr>
                <w:rFonts w:hint="default"/>
                <w:color w:val="000000"/>
                <w:kern w:val="0"/>
                <w:sz w:val="21"/>
                <w:szCs w:val="21"/>
                <w:lang w:bidi="en-US"/>
              </w:rPr>
            </w:pPr>
            <w:r>
              <w:rPr>
                <w:color w:val="000000"/>
                <w:kern w:val="0"/>
                <w:sz w:val="21"/>
                <w:szCs w:val="21"/>
                <w:lang w:bidi="en-US"/>
              </w:rPr>
              <w:t>炉膛内焚烧温度＞850℃；</w:t>
            </w:r>
          </w:p>
          <w:p w14:paraId="6D7D474C">
            <w:pPr>
              <w:spacing w:line="300" w:lineRule="exact"/>
              <w:jc w:val="left"/>
              <w:rPr>
                <w:rFonts w:hint="default"/>
                <w:color w:val="000000"/>
                <w:kern w:val="0"/>
                <w:sz w:val="21"/>
                <w:szCs w:val="21"/>
                <w:lang w:bidi="en-US"/>
              </w:rPr>
            </w:pPr>
            <w:r>
              <w:rPr>
                <w:color w:val="000000"/>
                <w:kern w:val="0"/>
                <w:sz w:val="21"/>
                <w:szCs w:val="21"/>
                <w:lang w:bidi="en-US"/>
              </w:rPr>
              <w:t>烟气停留时间＞2s；</w:t>
            </w:r>
          </w:p>
          <w:p w14:paraId="65B9E974">
            <w:pPr>
              <w:spacing w:line="300" w:lineRule="exact"/>
              <w:jc w:val="left"/>
              <w:rPr>
                <w:rFonts w:hint="default"/>
                <w:color w:val="000000"/>
                <w:kern w:val="0"/>
                <w:sz w:val="21"/>
                <w:szCs w:val="21"/>
                <w:lang w:bidi="en-US"/>
              </w:rPr>
            </w:pPr>
            <w:r>
              <w:rPr>
                <w:color w:val="000000"/>
                <w:kern w:val="0"/>
                <w:sz w:val="21"/>
                <w:szCs w:val="21"/>
                <w:lang w:bidi="en-US"/>
              </w:rPr>
              <w:t>焚烧炉渣热灼减率＜5%；</w:t>
            </w:r>
          </w:p>
          <w:p w14:paraId="4FD02581">
            <w:pPr>
              <w:spacing w:line="300" w:lineRule="exact"/>
              <w:jc w:val="left"/>
              <w:rPr>
                <w:rFonts w:hint="default"/>
                <w:color w:val="000000"/>
                <w:kern w:val="0"/>
                <w:sz w:val="21"/>
                <w:szCs w:val="21"/>
                <w:lang w:bidi="en-US"/>
              </w:rPr>
            </w:pPr>
            <w:r>
              <w:rPr>
                <w:color w:val="000000"/>
                <w:kern w:val="0"/>
                <w:sz w:val="21"/>
                <w:szCs w:val="21"/>
                <w:lang w:bidi="en-US"/>
              </w:rPr>
              <w:t>烟气排放达到《生活垃圾焚烧污染控制标准》(GB18485-2014)。</w:t>
            </w:r>
          </w:p>
        </w:tc>
        <w:tc>
          <w:tcPr>
            <w:tcW w:w="1258" w:type="pct"/>
            <w:tcBorders>
              <w:top w:val="single" w:color="auto" w:sz="4" w:space="0"/>
              <w:left w:val="single" w:color="auto" w:sz="4" w:space="0"/>
              <w:right w:val="single" w:color="auto" w:sz="4" w:space="0"/>
            </w:tcBorders>
            <w:shd w:val="clear" w:color="auto" w:fill="FFFFFF"/>
            <w:noWrap w:val="0"/>
            <w:vAlign w:val="center"/>
          </w:tcPr>
          <w:p w14:paraId="02BB2444">
            <w:pPr>
              <w:spacing w:line="300" w:lineRule="exact"/>
              <w:jc w:val="left"/>
              <w:rPr>
                <w:rFonts w:hint="default"/>
                <w:color w:val="000000"/>
                <w:kern w:val="0"/>
                <w:sz w:val="21"/>
                <w:szCs w:val="21"/>
                <w:lang w:bidi="en-US"/>
              </w:rPr>
            </w:pPr>
            <w:r>
              <w:rPr>
                <w:color w:val="000000"/>
                <w:kern w:val="0"/>
                <w:sz w:val="21"/>
                <w:szCs w:val="21"/>
                <w:lang w:bidi="en-US"/>
              </w:rPr>
              <w:t>适用于市政污泥、工业污泥、生活垃圾的处理处置。</w:t>
            </w:r>
          </w:p>
        </w:tc>
      </w:tr>
      <w:tr w14:paraId="3DF5BEEE">
        <w:tblPrEx>
          <w:tblCellMar>
            <w:top w:w="0" w:type="dxa"/>
            <w:left w:w="10" w:type="dxa"/>
            <w:bottom w:w="0" w:type="dxa"/>
            <w:right w:w="10" w:type="dxa"/>
          </w:tblCellMar>
        </w:tblPrEx>
        <w:trPr>
          <w:trHeight w:val="2404" w:hRule="exact"/>
          <w:jc w:val="center"/>
        </w:trPr>
        <w:tc>
          <w:tcPr>
            <w:tcW w:w="256" w:type="pct"/>
            <w:tcBorders>
              <w:top w:val="single" w:color="auto" w:sz="4" w:space="0"/>
              <w:left w:val="single" w:color="auto" w:sz="4" w:space="0"/>
            </w:tcBorders>
            <w:shd w:val="clear" w:color="auto" w:fill="FFFFFF"/>
            <w:noWrap w:val="0"/>
            <w:vAlign w:val="center"/>
          </w:tcPr>
          <w:p w14:paraId="230C259D">
            <w:pPr>
              <w:jc w:val="center"/>
              <w:rPr>
                <w:rFonts w:hint="default"/>
                <w:color w:val="000000"/>
                <w:kern w:val="0"/>
                <w:sz w:val="21"/>
                <w:szCs w:val="21"/>
                <w:lang w:eastAsia="en-US" w:bidi="en-US"/>
              </w:rPr>
            </w:pPr>
            <w:r>
              <w:rPr>
                <w:color w:val="000000"/>
                <w:kern w:val="0"/>
                <w:sz w:val="21"/>
                <w:szCs w:val="21"/>
                <w:lang w:eastAsia="en-US" w:bidi="en-US"/>
              </w:rPr>
              <w:t>6</w:t>
            </w:r>
          </w:p>
        </w:tc>
        <w:tc>
          <w:tcPr>
            <w:tcW w:w="734" w:type="pct"/>
            <w:tcBorders>
              <w:top w:val="single" w:color="auto" w:sz="4" w:space="0"/>
              <w:left w:val="single" w:color="auto" w:sz="4" w:space="0"/>
            </w:tcBorders>
            <w:shd w:val="clear" w:color="auto" w:fill="FFFFFF"/>
            <w:noWrap w:val="0"/>
            <w:vAlign w:val="center"/>
          </w:tcPr>
          <w:p w14:paraId="092784AC">
            <w:pPr>
              <w:spacing w:line="300" w:lineRule="exact"/>
              <w:jc w:val="center"/>
              <w:rPr>
                <w:rFonts w:hint="default"/>
                <w:color w:val="000000"/>
                <w:kern w:val="0"/>
                <w:sz w:val="21"/>
                <w:szCs w:val="21"/>
                <w:lang w:eastAsia="en-US" w:bidi="en-US"/>
              </w:rPr>
            </w:pPr>
            <w:r>
              <w:rPr>
                <w:color w:val="000000"/>
                <w:kern w:val="0"/>
                <w:sz w:val="21"/>
                <w:szCs w:val="21"/>
                <w:lang w:eastAsia="en-US" w:bidi="en-US"/>
              </w:rPr>
              <w:t>机械炉排炉</w:t>
            </w:r>
          </w:p>
        </w:tc>
        <w:tc>
          <w:tcPr>
            <w:tcW w:w="2751" w:type="pct"/>
            <w:tcBorders>
              <w:top w:val="single" w:color="auto" w:sz="4" w:space="0"/>
              <w:left w:val="single" w:color="auto" w:sz="4" w:space="0"/>
            </w:tcBorders>
            <w:shd w:val="clear" w:color="auto" w:fill="FFFFFF"/>
            <w:noWrap w:val="0"/>
            <w:vAlign w:val="center"/>
          </w:tcPr>
          <w:p w14:paraId="3CAF1D37">
            <w:pPr>
              <w:spacing w:line="300" w:lineRule="exact"/>
              <w:jc w:val="left"/>
              <w:rPr>
                <w:rFonts w:hint="default"/>
                <w:color w:val="000000"/>
                <w:kern w:val="0"/>
                <w:sz w:val="21"/>
                <w:szCs w:val="21"/>
                <w:lang w:bidi="en-US"/>
              </w:rPr>
            </w:pPr>
            <w:r>
              <w:rPr>
                <w:color w:val="000000"/>
                <w:kern w:val="0"/>
                <w:sz w:val="21"/>
                <w:szCs w:val="21"/>
                <w:lang w:bidi="en-US"/>
              </w:rPr>
              <w:t>处理量＞200t/d；</w:t>
            </w:r>
          </w:p>
          <w:p w14:paraId="1EBB4FB2">
            <w:pPr>
              <w:spacing w:line="300" w:lineRule="exact"/>
              <w:jc w:val="left"/>
              <w:rPr>
                <w:rFonts w:hint="default"/>
                <w:color w:val="000000"/>
                <w:kern w:val="0"/>
                <w:sz w:val="21"/>
                <w:szCs w:val="21"/>
                <w:lang w:bidi="en-US"/>
              </w:rPr>
            </w:pPr>
            <w:r>
              <w:rPr>
                <w:color w:val="000000"/>
                <w:kern w:val="0"/>
                <w:sz w:val="21"/>
                <w:szCs w:val="21"/>
                <w:lang w:bidi="en-US"/>
              </w:rPr>
              <w:t>炉膛内焚烧温度＞850℃；</w:t>
            </w:r>
          </w:p>
          <w:p w14:paraId="1B53D149">
            <w:pPr>
              <w:spacing w:line="300" w:lineRule="exact"/>
              <w:jc w:val="left"/>
              <w:rPr>
                <w:rFonts w:hint="default"/>
                <w:color w:val="000000"/>
                <w:kern w:val="0"/>
                <w:sz w:val="21"/>
                <w:szCs w:val="21"/>
                <w:lang w:bidi="en-US"/>
              </w:rPr>
            </w:pPr>
            <w:r>
              <w:rPr>
                <w:color w:val="000000"/>
                <w:kern w:val="0"/>
                <w:sz w:val="21"/>
                <w:szCs w:val="21"/>
                <w:lang w:bidi="en-US"/>
              </w:rPr>
              <w:t>烟气停留时间＞2s；</w:t>
            </w:r>
          </w:p>
          <w:p w14:paraId="06F478DA">
            <w:pPr>
              <w:spacing w:line="300" w:lineRule="exact"/>
              <w:jc w:val="left"/>
              <w:rPr>
                <w:rFonts w:hint="default"/>
                <w:color w:val="000000"/>
                <w:kern w:val="0"/>
                <w:sz w:val="21"/>
                <w:szCs w:val="21"/>
                <w:lang w:bidi="en-US"/>
              </w:rPr>
            </w:pPr>
            <w:r>
              <w:rPr>
                <w:color w:val="000000"/>
                <w:kern w:val="0"/>
                <w:sz w:val="21"/>
                <w:szCs w:val="21"/>
                <w:lang w:bidi="en-US"/>
              </w:rPr>
              <w:t>焚烧炉渣热酌减率＜5%；</w:t>
            </w:r>
          </w:p>
          <w:p w14:paraId="6FACA6BA">
            <w:pPr>
              <w:spacing w:line="300" w:lineRule="exact"/>
              <w:jc w:val="left"/>
              <w:rPr>
                <w:rFonts w:hint="default"/>
                <w:color w:val="000000"/>
                <w:kern w:val="0"/>
                <w:sz w:val="21"/>
                <w:szCs w:val="21"/>
                <w:lang w:bidi="en-US"/>
              </w:rPr>
            </w:pPr>
            <w:r>
              <w:rPr>
                <w:color w:val="000000"/>
                <w:kern w:val="0"/>
                <w:sz w:val="21"/>
                <w:szCs w:val="21"/>
                <w:lang w:bidi="en-US"/>
              </w:rPr>
              <w:t>烟气排放达到《生活垃圾焚烧污染控制标准》(GB18485-2014)。</w:t>
            </w:r>
          </w:p>
        </w:tc>
        <w:tc>
          <w:tcPr>
            <w:tcW w:w="1258" w:type="pct"/>
            <w:tcBorders>
              <w:top w:val="single" w:color="auto" w:sz="4" w:space="0"/>
              <w:left w:val="single" w:color="auto" w:sz="4" w:space="0"/>
              <w:right w:val="single" w:color="auto" w:sz="4" w:space="0"/>
            </w:tcBorders>
            <w:shd w:val="clear" w:color="auto" w:fill="FFFFFF"/>
            <w:noWrap w:val="0"/>
            <w:vAlign w:val="center"/>
          </w:tcPr>
          <w:p w14:paraId="36E03992">
            <w:pPr>
              <w:spacing w:line="300" w:lineRule="exact"/>
              <w:jc w:val="left"/>
              <w:rPr>
                <w:rFonts w:hint="default"/>
                <w:color w:val="000000"/>
                <w:kern w:val="0"/>
                <w:sz w:val="21"/>
                <w:szCs w:val="21"/>
                <w:lang w:bidi="en-US"/>
              </w:rPr>
            </w:pPr>
            <w:r>
              <w:rPr>
                <w:color w:val="000000"/>
                <w:kern w:val="0"/>
                <w:sz w:val="21"/>
                <w:szCs w:val="21"/>
                <w:lang w:bidi="en-US"/>
              </w:rPr>
              <w:t>适用于生活垃圾的处理处置。</w:t>
            </w:r>
          </w:p>
        </w:tc>
      </w:tr>
      <w:tr w14:paraId="2249D5BE">
        <w:tblPrEx>
          <w:tblCellMar>
            <w:top w:w="0" w:type="dxa"/>
            <w:left w:w="10" w:type="dxa"/>
            <w:bottom w:w="0" w:type="dxa"/>
            <w:right w:w="10" w:type="dxa"/>
          </w:tblCellMar>
        </w:tblPrEx>
        <w:trPr>
          <w:trHeight w:val="1701" w:hRule="exact"/>
          <w:jc w:val="center"/>
        </w:trPr>
        <w:tc>
          <w:tcPr>
            <w:tcW w:w="256" w:type="pct"/>
            <w:tcBorders>
              <w:top w:val="single" w:color="auto" w:sz="4" w:space="0"/>
              <w:left w:val="single" w:color="auto" w:sz="4" w:space="0"/>
            </w:tcBorders>
            <w:shd w:val="clear" w:color="auto" w:fill="FFFFFF"/>
            <w:noWrap w:val="0"/>
            <w:vAlign w:val="center"/>
          </w:tcPr>
          <w:p w14:paraId="13660B24">
            <w:pPr>
              <w:jc w:val="center"/>
              <w:rPr>
                <w:rFonts w:hint="default"/>
                <w:color w:val="000000"/>
                <w:kern w:val="0"/>
                <w:sz w:val="21"/>
                <w:szCs w:val="21"/>
                <w:lang w:eastAsia="en-US" w:bidi="en-US"/>
              </w:rPr>
            </w:pPr>
            <w:r>
              <w:rPr>
                <w:color w:val="000000"/>
                <w:kern w:val="0"/>
                <w:sz w:val="21"/>
                <w:szCs w:val="21"/>
                <w:lang w:eastAsia="en-US" w:bidi="en-US"/>
              </w:rPr>
              <w:t>7</w:t>
            </w:r>
          </w:p>
        </w:tc>
        <w:tc>
          <w:tcPr>
            <w:tcW w:w="734" w:type="pct"/>
            <w:tcBorders>
              <w:top w:val="single" w:color="auto" w:sz="4" w:space="0"/>
              <w:left w:val="single" w:color="auto" w:sz="4" w:space="0"/>
            </w:tcBorders>
            <w:shd w:val="clear" w:color="auto" w:fill="FFFFFF"/>
            <w:noWrap w:val="0"/>
            <w:vAlign w:val="center"/>
          </w:tcPr>
          <w:p w14:paraId="7588266B">
            <w:pPr>
              <w:spacing w:line="300" w:lineRule="exact"/>
              <w:jc w:val="center"/>
              <w:rPr>
                <w:rFonts w:hint="default"/>
                <w:color w:val="000000"/>
                <w:kern w:val="0"/>
                <w:sz w:val="21"/>
                <w:szCs w:val="21"/>
                <w:lang w:bidi="en-US"/>
              </w:rPr>
            </w:pPr>
            <w:r>
              <w:rPr>
                <w:color w:val="000000"/>
                <w:kern w:val="0"/>
                <w:sz w:val="21"/>
                <w:szCs w:val="21"/>
                <w:lang w:bidi="en-US"/>
              </w:rPr>
              <w:t>厌氧消化成套处理装置</w:t>
            </w:r>
          </w:p>
        </w:tc>
        <w:tc>
          <w:tcPr>
            <w:tcW w:w="2751" w:type="pct"/>
            <w:tcBorders>
              <w:top w:val="single" w:color="auto" w:sz="4" w:space="0"/>
              <w:left w:val="single" w:color="auto" w:sz="4" w:space="0"/>
            </w:tcBorders>
            <w:shd w:val="clear" w:color="auto" w:fill="FFFFFF"/>
            <w:noWrap w:val="0"/>
            <w:vAlign w:val="center"/>
          </w:tcPr>
          <w:p w14:paraId="53CD8C53">
            <w:pPr>
              <w:spacing w:line="300" w:lineRule="exact"/>
              <w:jc w:val="left"/>
              <w:rPr>
                <w:rFonts w:hint="default"/>
                <w:color w:val="000000"/>
                <w:kern w:val="0"/>
                <w:sz w:val="21"/>
                <w:szCs w:val="21"/>
                <w:lang w:bidi="en-US"/>
              </w:rPr>
            </w:pPr>
            <w:r>
              <w:rPr>
                <w:color w:val="000000"/>
                <w:kern w:val="0"/>
                <w:sz w:val="21"/>
                <w:szCs w:val="21"/>
                <w:lang w:bidi="en-US"/>
              </w:rPr>
              <w:t>处理规模＞50t/d；反应温度：30～36℃；有机物分解率＞60%。</w:t>
            </w:r>
          </w:p>
        </w:tc>
        <w:tc>
          <w:tcPr>
            <w:tcW w:w="1258" w:type="pct"/>
            <w:tcBorders>
              <w:top w:val="single" w:color="auto" w:sz="4" w:space="0"/>
              <w:left w:val="single" w:color="auto" w:sz="4" w:space="0"/>
              <w:right w:val="single" w:color="auto" w:sz="4" w:space="0"/>
            </w:tcBorders>
            <w:shd w:val="clear" w:color="auto" w:fill="FFFFFF"/>
            <w:noWrap w:val="0"/>
            <w:vAlign w:val="center"/>
          </w:tcPr>
          <w:p w14:paraId="2ECF471F">
            <w:pPr>
              <w:spacing w:line="300" w:lineRule="exact"/>
              <w:jc w:val="left"/>
              <w:rPr>
                <w:rFonts w:hint="default"/>
                <w:color w:val="000000"/>
                <w:kern w:val="0"/>
                <w:sz w:val="21"/>
                <w:szCs w:val="21"/>
                <w:lang w:bidi="en-US"/>
              </w:rPr>
            </w:pPr>
            <w:r>
              <w:rPr>
                <w:color w:val="000000"/>
                <w:kern w:val="0"/>
                <w:sz w:val="21"/>
                <w:szCs w:val="21"/>
                <w:lang w:bidi="en-US"/>
              </w:rPr>
              <w:t>适用于市政污泥、生活垃圾的处理处置。</w:t>
            </w:r>
          </w:p>
        </w:tc>
      </w:tr>
      <w:tr w14:paraId="3D2CBEFF">
        <w:tblPrEx>
          <w:tblCellMar>
            <w:top w:w="0" w:type="dxa"/>
            <w:left w:w="10" w:type="dxa"/>
            <w:bottom w:w="0" w:type="dxa"/>
            <w:right w:w="10" w:type="dxa"/>
          </w:tblCellMar>
        </w:tblPrEx>
        <w:trPr>
          <w:trHeight w:val="2122" w:hRule="exact"/>
          <w:jc w:val="center"/>
        </w:trPr>
        <w:tc>
          <w:tcPr>
            <w:tcW w:w="256" w:type="pct"/>
            <w:tcBorders>
              <w:top w:val="single" w:color="auto" w:sz="4" w:space="0"/>
              <w:left w:val="single" w:color="auto" w:sz="4" w:space="0"/>
            </w:tcBorders>
            <w:shd w:val="clear" w:color="auto" w:fill="FFFFFF"/>
            <w:noWrap w:val="0"/>
            <w:vAlign w:val="center"/>
          </w:tcPr>
          <w:p w14:paraId="059115F3">
            <w:pPr>
              <w:jc w:val="center"/>
              <w:rPr>
                <w:rFonts w:hint="default"/>
                <w:color w:val="000000"/>
                <w:kern w:val="0"/>
                <w:sz w:val="21"/>
                <w:szCs w:val="21"/>
                <w:lang w:eastAsia="en-US" w:bidi="en-US"/>
              </w:rPr>
            </w:pPr>
            <w:r>
              <w:rPr>
                <w:color w:val="000000"/>
                <w:kern w:val="0"/>
                <w:sz w:val="21"/>
                <w:szCs w:val="21"/>
                <w:lang w:eastAsia="en-US" w:bidi="en-US"/>
              </w:rPr>
              <w:t>8</w:t>
            </w:r>
          </w:p>
        </w:tc>
        <w:tc>
          <w:tcPr>
            <w:tcW w:w="734" w:type="pct"/>
            <w:tcBorders>
              <w:top w:val="single" w:color="auto" w:sz="4" w:space="0"/>
              <w:left w:val="single" w:color="auto" w:sz="4" w:space="0"/>
            </w:tcBorders>
            <w:shd w:val="clear" w:color="auto" w:fill="FFFFFF"/>
            <w:noWrap w:val="0"/>
            <w:vAlign w:val="center"/>
          </w:tcPr>
          <w:p w14:paraId="19203A04">
            <w:pPr>
              <w:spacing w:line="300" w:lineRule="exact"/>
              <w:jc w:val="center"/>
              <w:rPr>
                <w:rFonts w:hint="default"/>
                <w:color w:val="000000"/>
                <w:kern w:val="0"/>
                <w:sz w:val="21"/>
                <w:szCs w:val="21"/>
                <w:lang w:bidi="en-US"/>
              </w:rPr>
            </w:pPr>
            <w:r>
              <w:rPr>
                <w:color w:val="000000"/>
                <w:kern w:val="0"/>
                <w:sz w:val="21"/>
                <w:szCs w:val="21"/>
                <w:lang w:bidi="en-US"/>
              </w:rPr>
              <w:t>城镇粪便处理成套设备</w:t>
            </w:r>
          </w:p>
        </w:tc>
        <w:tc>
          <w:tcPr>
            <w:tcW w:w="2751" w:type="pct"/>
            <w:tcBorders>
              <w:top w:val="single" w:color="auto" w:sz="4" w:space="0"/>
              <w:left w:val="single" w:color="auto" w:sz="4" w:space="0"/>
            </w:tcBorders>
            <w:shd w:val="clear" w:color="auto" w:fill="FFFFFF"/>
            <w:noWrap w:val="0"/>
            <w:vAlign w:val="center"/>
          </w:tcPr>
          <w:p w14:paraId="1C5CE0C6">
            <w:pPr>
              <w:spacing w:line="300" w:lineRule="exact"/>
              <w:jc w:val="left"/>
              <w:rPr>
                <w:rFonts w:hint="default"/>
                <w:color w:val="000000"/>
                <w:kern w:val="0"/>
                <w:sz w:val="21"/>
                <w:szCs w:val="21"/>
                <w:lang w:bidi="en-US"/>
              </w:rPr>
            </w:pPr>
            <w:r>
              <w:rPr>
                <w:color w:val="000000"/>
                <w:kern w:val="0"/>
                <w:sz w:val="21"/>
                <w:szCs w:val="21"/>
                <w:lang w:bidi="en-US"/>
              </w:rPr>
              <w:t>固液分离出渣含固率＞45%；</w:t>
            </w:r>
          </w:p>
          <w:p w14:paraId="40B3A8C4">
            <w:pPr>
              <w:spacing w:line="300" w:lineRule="exact"/>
              <w:jc w:val="left"/>
              <w:rPr>
                <w:rFonts w:hint="default"/>
                <w:color w:val="000000"/>
                <w:kern w:val="0"/>
                <w:sz w:val="21"/>
                <w:szCs w:val="21"/>
                <w:lang w:bidi="en-US"/>
              </w:rPr>
            </w:pPr>
            <w:r>
              <w:rPr>
                <w:color w:val="000000"/>
                <w:kern w:val="0"/>
                <w:sz w:val="21"/>
                <w:szCs w:val="21"/>
                <w:lang w:bidi="en-US"/>
              </w:rPr>
              <w:t>絮凝脱水出渣含固率＞25%；</w:t>
            </w:r>
          </w:p>
          <w:p w14:paraId="2EF1E5D2">
            <w:pPr>
              <w:spacing w:line="300" w:lineRule="exact"/>
              <w:jc w:val="left"/>
              <w:rPr>
                <w:rFonts w:hint="default"/>
                <w:color w:val="000000"/>
                <w:kern w:val="0"/>
                <w:sz w:val="21"/>
                <w:szCs w:val="21"/>
                <w:lang w:bidi="en-US"/>
              </w:rPr>
            </w:pPr>
            <w:r>
              <w:rPr>
                <w:color w:val="000000"/>
                <w:kern w:val="0"/>
                <w:sz w:val="21"/>
                <w:szCs w:val="21"/>
                <w:lang w:bidi="en-US"/>
              </w:rPr>
              <w:t>臭气排放达到《恶臭污染物排放标准》(GB14554-1993)；</w:t>
            </w:r>
          </w:p>
          <w:p w14:paraId="3F7B69D0">
            <w:pPr>
              <w:spacing w:line="300" w:lineRule="exact"/>
              <w:jc w:val="left"/>
              <w:rPr>
                <w:rFonts w:hint="default"/>
                <w:color w:val="000000"/>
                <w:kern w:val="0"/>
                <w:sz w:val="21"/>
                <w:szCs w:val="21"/>
                <w:lang w:bidi="en-US"/>
              </w:rPr>
            </w:pPr>
            <w:r>
              <w:rPr>
                <w:color w:val="000000"/>
                <w:kern w:val="0"/>
                <w:sz w:val="21"/>
                <w:szCs w:val="21"/>
                <w:lang w:bidi="en-US"/>
              </w:rPr>
              <w:t>堆肥达到《城镇垃圾农用控制标准》(GB8172-1987)。</w:t>
            </w:r>
          </w:p>
        </w:tc>
        <w:tc>
          <w:tcPr>
            <w:tcW w:w="1258" w:type="pct"/>
            <w:tcBorders>
              <w:top w:val="single" w:color="auto" w:sz="4" w:space="0"/>
              <w:left w:val="single" w:color="auto" w:sz="4" w:space="0"/>
              <w:right w:val="single" w:color="auto" w:sz="4" w:space="0"/>
            </w:tcBorders>
            <w:shd w:val="clear" w:color="auto" w:fill="FFFFFF"/>
            <w:noWrap w:val="0"/>
            <w:vAlign w:val="center"/>
          </w:tcPr>
          <w:p w14:paraId="1E576C12">
            <w:pPr>
              <w:spacing w:line="300" w:lineRule="exact"/>
              <w:jc w:val="left"/>
              <w:rPr>
                <w:rFonts w:hint="default"/>
                <w:color w:val="000000"/>
                <w:kern w:val="0"/>
                <w:sz w:val="21"/>
                <w:szCs w:val="21"/>
                <w:lang w:bidi="en-US"/>
              </w:rPr>
            </w:pPr>
            <w:r>
              <w:rPr>
                <w:color w:val="000000"/>
                <w:kern w:val="0"/>
                <w:sz w:val="21"/>
                <w:szCs w:val="21"/>
                <w:lang w:bidi="en-US"/>
              </w:rPr>
              <w:t>适用于粪便的处理处置。</w:t>
            </w:r>
          </w:p>
        </w:tc>
      </w:tr>
      <w:tr w14:paraId="32255D9A">
        <w:tblPrEx>
          <w:tblCellMar>
            <w:top w:w="0" w:type="dxa"/>
            <w:left w:w="10" w:type="dxa"/>
            <w:bottom w:w="0" w:type="dxa"/>
            <w:right w:w="10" w:type="dxa"/>
          </w:tblCellMar>
        </w:tblPrEx>
        <w:trPr>
          <w:trHeight w:val="1288" w:hRule="exact"/>
          <w:jc w:val="center"/>
        </w:trPr>
        <w:tc>
          <w:tcPr>
            <w:tcW w:w="256" w:type="pct"/>
            <w:tcBorders>
              <w:top w:val="single" w:color="auto" w:sz="4" w:space="0"/>
              <w:left w:val="single" w:color="auto" w:sz="4" w:space="0"/>
              <w:bottom w:val="single" w:color="auto" w:sz="4" w:space="0"/>
            </w:tcBorders>
            <w:shd w:val="clear" w:color="auto" w:fill="FFFFFF"/>
            <w:noWrap w:val="0"/>
            <w:vAlign w:val="center"/>
          </w:tcPr>
          <w:p w14:paraId="05700ACD">
            <w:pPr>
              <w:jc w:val="center"/>
              <w:rPr>
                <w:rFonts w:hint="default"/>
                <w:color w:val="000000"/>
                <w:kern w:val="0"/>
                <w:sz w:val="21"/>
                <w:szCs w:val="21"/>
                <w:lang w:eastAsia="en-US" w:bidi="en-US"/>
              </w:rPr>
            </w:pPr>
            <w:r>
              <w:rPr>
                <w:color w:val="000000"/>
                <w:kern w:val="0"/>
                <w:sz w:val="21"/>
                <w:szCs w:val="21"/>
                <w:lang w:eastAsia="en-US" w:bidi="en-US"/>
              </w:rPr>
              <w:t>9</w:t>
            </w:r>
          </w:p>
        </w:tc>
        <w:tc>
          <w:tcPr>
            <w:tcW w:w="734" w:type="pct"/>
            <w:tcBorders>
              <w:top w:val="single" w:color="auto" w:sz="4" w:space="0"/>
              <w:left w:val="single" w:color="auto" w:sz="4" w:space="0"/>
              <w:bottom w:val="single" w:color="auto" w:sz="4" w:space="0"/>
            </w:tcBorders>
            <w:shd w:val="clear" w:color="auto" w:fill="FFFFFF"/>
            <w:noWrap w:val="0"/>
            <w:vAlign w:val="center"/>
          </w:tcPr>
          <w:p w14:paraId="7E883DE0">
            <w:pPr>
              <w:spacing w:line="300" w:lineRule="exact"/>
              <w:jc w:val="center"/>
              <w:rPr>
                <w:rFonts w:hint="default"/>
                <w:color w:val="000000"/>
                <w:kern w:val="0"/>
                <w:sz w:val="21"/>
                <w:szCs w:val="21"/>
                <w:lang w:eastAsia="en-US" w:bidi="en-US"/>
              </w:rPr>
            </w:pPr>
            <w:r>
              <w:rPr>
                <w:color w:val="000000"/>
                <w:kern w:val="0"/>
                <w:sz w:val="21"/>
                <w:szCs w:val="21"/>
                <w:lang w:eastAsia="en-US" w:bidi="en-US"/>
              </w:rPr>
              <w:t>垃圾填埋压实机</w:t>
            </w:r>
          </w:p>
        </w:tc>
        <w:tc>
          <w:tcPr>
            <w:tcW w:w="2751" w:type="pct"/>
            <w:tcBorders>
              <w:top w:val="single" w:color="auto" w:sz="4" w:space="0"/>
              <w:left w:val="single" w:color="auto" w:sz="4" w:space="0"/>
              <w:bottom w:val="single" w:color="auto" w:sz="4" w:space="0"/>
            </w:tcBorders>
            <w:shd w:val="clear" w:color="auto" w:fill="FFFFFF"/>
            <w:noWrap w:val="0"/>
            <w:vAlign w:val="center"/>
          </w:tcPr>
          <w:p w14:paraId="50EB6019">
            <w:pPr>
              <w:spacing w:line="300" w:lineRule="exact"/>
              <w:jc w:val="left"/>
              <w:rPr>
                <w:rFonts w:hint="default"/>
                <w:color w:val="000000"/>
                <w:kern w:val="0"/>
                <w:sz w:val="21"/>
                <w:szCs w:val="21"/>
                <w:lang w:eastAsia="en-US" w:bidi="en-US"/>
              </w:rPr>
            </w:pPr>
            <w:r>
              <w:rPr>
                <w:color w:val="000000"/>
                <w:kern w:val="0"/>
                <w:sz w:val="21"/>
                <w:szCs w:val="21"/>
                <w:lang w:eastAsia="en-US" w:bidi="en-US"/>
              </w:rPr>
              <w:t>压实重量＞20t。</w:t>
            </w:r>
          </w:p>
        </w:tc>
        <w:tc>
          <w:tcPr>
            <w:tcW w:w="1258"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699BE527">
            <w:pPr>
              <w:spacing w:line="300" w:lineRule="exact"/>
              <w:jc w:val="left"/>
              <w:rPr>
                <w:rFonts w:hint="default"/>
                <w:color w:val="000000"/>
                <w:kern w:val="0"/>
                <w:sz w:val="21"/>
                <w:szCs w:val="21"/>
                <w:lang w:eastAsia="en-US" w:bidi="en-US"/>
              </w:rPr>
            </w:pPr>
            <w:r>
              <w:rPr>
                <w:color w:val="000000"/>
                <w:kern w:val="0"/>
                <w:sz w:val="21"/>
                <w:szCs w:val="21"/>
                <w:lang w:eastAsia="en-US" w:bidi="en-US"/>
              </w:rPr>
              <w:t>适用于垃圾填埋。</w:t>
            </w:r>
          </w:p>
        </w:tc>
      </w:tr>
    </w:tbl>
    <w:p w14:paraId="5D71F124">
      <w:pPr>
        <w:spacing w:line="1" w:lineRule="exact"/>
        <w:jc w:val="left"/>
        <w:rPr>
          <w:rFonts w:hint="default" w:ascii="等线" w:hAnsi="等线" w:eastAsia="等线" w:cs="等线"/>
          <w:color w:val="000000"/>
          <w:kern w:val="0"/>
          <w:sz w:val="2"/>
          <w:szCs w:val="2"/>
          <w:lang w:eastAsia="en-US" w:bidi="en-US"/>
        </w:rPr>
      </w:pPr>
      <w:r>
        <w:rPr>
          <w:rFonts w:ascii="等线" w:hAnsi="等线" w:eastAsia="等线" w:cs="等线"/>
          <w:color w:val="000000"/>
          <w:kern w:val="0"/>
          <w:sz w:val="24"/>
          <w:lang w:eastAsia="en-US" w:bidi="en-US"/>
        </w:rPr>
        <w:br w:type="page"/>
      </w:r>
    </w:p>
    <w:tbl>
      <w:tblPr>
        <w:tblStyle w:val="3"/>
        <w:tblW w:w="4998" w:type="pct"/>
        <w:jc w:val="center"/>
        <w:tblLayout w:type="autofit"/>
        <w:tblCellMar>
          <w:top w:w="0" w:type="dxa"/>
          <w:left w:w="10" w:type="dxa"/>
          <w:bottom w:w="0" w:type="dxa"/>
          <w:right w:w="10" w:type="dxa"/>
        </w:tblCellMar>
      </w:tblPr>
      <w:tblGrid>
        <w:gridCol w:w="426"/>
        <w:gridCol w:w="1222"/>
        <w:gridCol w:w="4580"/>
        <w:gridCol w:w="2094"/>
      </w:tblGrid>
      <w:tr w14:paraId="65BB5451">
        <w:tblPrEx>
          <w:tblCellMar>
            <w:top w:w="0" w:type="dxa"/>
            <w:left w:w="10" w:type="dxa"/>
            <w:bottom w:w="0" w:type="dxa"/>
            <w:right w:w="10" w:type="dxa"/>
          </w:tblCellMar>
        </w:tblPrEx>
        <w:trPr>
          <w:trHeight w:val="480" w:hRule="exact"/>
          <w:jc w:val="center"/>
        </w:trPr>
        <w:tc>
          <w:tcPr>
            <w:tcW w:w="256" w:type="pct"/>
            <w:tcBorders>
              <w:top w:val="single" w:color="auto" w:sz="4" w:space="0"/>
              <w:left w:val="single" w:color="auto" w:sz="4" w:space="0"/>
            </w:tcBorders>
            <w:shd w:val="clear" w:color="auto" w:fill="FFFFFF"/>
            <w:noWrap w:val="0"/>
            <w:vAlign w:val="center"/>
          </w:tcPr>
          <w:p w14:paraId="7EC3B7B4">
            <w:pPr>
              <w:jc w:val="center"/>
              <w:rPr>
                <w:rFonts w:hint="default"/>
                <w:color w:val="000000"/>
                <w:kern w:val="0"/>
                <w:sz w:val="21"/>
                <w:szCs w:val="21"/>
                <w:lang w:eastAsia="en-US" w:bidi="en-US"/>
              </w:rPr>
            </w:pPr>
            <w:r>
              <w:rPr>
                <w:b/>
                <w:bCs/>
                <w:color w:val="000000"/>
                <w:kern w:val="0"/>
                <w:sz w:val="21"/>
                <w:szCs w:val="21"/>
                <w:lang w:eastAsia="en-US" w:bidi="en-US"/>
              </w:rPr>
              <w:t>序号</w:t>
            </w:r>
          </w:p>
        </w:tc>
        <w:tc>
          <w:tcPr>
            <w:tcW w:w="734" w:type="pct"/>
            <w:tcBorders>
              <w:top w:val="single" w:color="auto" w:sz="4" w:space="0"/>
              <w:left w:val="single" w:color="auto" w:sz="4" w:space="0"/>
            </w:tcBorders>
            <w:shd w:val="clear" w:color="auto" w:fill="FFFFFF"/>
            <w:noWrap w:val="0"/>
            <w:vAlign w:val="center"/>
          </w:tcPr>
          <w:p w14:paraId="4D3893E3">
            <w:pPr>
              <w:jc w:val="center"/>
              <w:rPr>
                <w:rFonts w:hint="default"/>
                <w:color w:val="000000"/>
                <w:kern w:val="0"/>
                <w:sz w:val="21"/>
                <w:szCs w:val="21"/>
                <w:lang w:eastAsia="en-US" w:bidi="en-US"/>
              </w:rPr>
            </w:pPr>
            <w:r>
              <w:rPr>
                <w:b/>
                <w:bCs/>
                <w:color w:val="000000"/>
                <w:kern w:val="0"/>
                <w:sz w:val="21"/>
                <w:szCs w:val="21"/>
                <w:lang w:eastAsia="en-US" w:bidi="en-US"/>
              </w:rPr>
              <w:t>设备名称</w:t>
            </w:r>
          </w:p>
        </w:tc>
        <w:tc>
          <w:tcPr>
            <w:tcW w:w="2751" w:type="pct"/>
            <w:tcBorders>
              <w:top w:val="single" w:color="auto" w:sz="4" w:space="0"/>
              <w:left w:val="single" w:color="auto" w:sz="4" w:space="0"/>
            </w:tcBorders>
            <w:shd w:val="clear" w:color="auto" w:fill="FFFFFF"/>
            <w:noWrap w:val="0"/>
            <w:vAlign w:val="center"/>
          </w:tcPr>
          <w:p w14:paraId="10D540AA">
            <w:pPr>
              <w:tabs>
                <w:tab w:val="left" w:pos="634"/>
              </w:tabs>
              <w:jc w:val="center"/>
              <w:rPr>
                <w:rFonts w:hint="default"/>
                <w:color w:val="000000"/>
                <w:kern w:val="0"/>
                <w:sz w:val="21"/>
                <w:szCs w:val="21"/>
                <w:lang w:eastAsia="en-US" w:bidi="en-US"/>
              </w:rPr>
            </w:pPr>
            <w:r>
              <w:rPr>
                <w:b/>
                <w:bCs/>
                <w:color w:val="000000"/>
                <w:kern w:val="0"/>
                <w:sz w:val="21"/>
                <w:szCs w:val="21"/>
                <w:lang w:eastAsia="en-US" w:bidi="en-US"/>
              </w:rPr>
              <w:t>性能参数</w:t>
            </w:r>
          </w:p>
        </w:tc>
        <w:tc>
          <w:tcPr>
            <w:tcW w:w="1258" w:type="pct"/>
            <w:tcBorders>
              <w:top w:val="single" w:color="auto" w:sz="4" w:space="0"/>
              <w:left w:val="single" w:color="auto" w:sz="4" w:space="0"/>
              <w:right w:val="single" w:color="auto" w:sz="4" w:space="0"/>
            </w:tcBorders>
            <w:shd w:val="clear" w:color="auto" w:fill="FFFFFF"/>
            <w:noWrap w:val="0"/>
            <w:vAlign w:val="center"/>
          </w:tcPr>
          <w:p w14:paraId="753F6D0D">
            <w:pPr>
              <w:jc w:val="center"/>
              <w:rPr>
                <w:rFonts w:hint="default"/>
                <w:color w:val="000000"/>
                <w:kern w:val="0"/>
                <w:sz w:val="21"/>
                <w:szCs w:val="21"/>
                <w:lang w:eastAsia="en-US" w:bidi="en-US"/>
              </w:rPr>
            </w:pPr>
            <w:r>
              <w:rPr>
                <w:b/>
                <w:bCs/>
                <w:color w:val="000000"/>
                <w:kern w:val="0"/>
                <w:sz w:val="21"/>
                <w:szCs w:val="21"/>
                <w:lang w:eastAsia="en-US" w:bidi="en-US"/>
              </w:rPr>
              <w:t>应用领域</w:t>
            </w:r>
          </w:p>
        </w:tc>
      </w:tr>
      <w:tr w14:paraId="6F929A72">
        <w:tblPrEx>
          <w:tblCellMar>
            <w:top w:w="0" w:type="dxa"/>
            <w:left w:w="10" w:type="dxa"/>
            <w:bottom w:w="0" w:type="dxa"/>
            <w:right w:w="10" w:type="dxa"/>
          </w:tblCellMar>
        </w:tblPrEx>
        <w:trPr>
          <w:trHeight w:val="5772" w:hRule="exact"/>
          <w:jc w:val="center"/>
        </w:trPr>
        <w:tc>
          <w:tcPr>
            <w:tcW w:w="256" w:type="pct"/>
            <w:tcBorders>
              <w:top w:val="single" w:color="auto" w:sz="4" w:space="0"/>
              <w:left w:val="single" w:color="auto" w:sz="4" w:space="0"/>
              <w:bottom w:val="single" w:color="auto" w:sz="4" w:space="0"/>
            </w:tcBorders>
            <w:shd w:val="clear" w:color="auto" w:fill="FFFFFF"/>
            <w:noWrap w:val="0"/>
            <w:vAlign w:val="center"/>
          </w:tcPr>
          <w:p w14:paraId="50374581">
            <w:pPr>
              <w:jc w:val="center"/>
              <w:rPr>
                <w:rFonts w:hint="default"/>
                <w:color w:val="000000"/>
                <w:kern w:val="0"/>
                <w:sz w:val="21"/>
                <w:szCs w:val="21"/>
                <w:lang w:eastAsia="en-US" w:bidi="en-US"/>
              </w:rPr>
            </w:pPr>
            <w:r>
              <w:rPr>
                <w:color w:val="000000"/>
                <w:kern w:val="0"/>
                <w:sz w:val="21"/>
                <w:szCs w:val="21"/>
                <w:lang w:eastAsia="en-US" w:bidi="en-US"/>
              </w:rPr>
              <w:t>10</w:t>
            </w:r>
          </w:p>
        </w:tc>
        <w:tc>
          <w:tcPr>
            <w:tcW w:w="734" w:type="pct"/>
            <w:tcBorders>
              <w:top w:val="single" w:color="auto" w:sz="4" w:space="0"/>
              <w:left w:val="single" w:color="auto" w:sz="4" w:space="0"/>
              <w:bottom w:val="single" w:color="auto" w:sz="4" w:space="0"/>
            </w:tcBorders>
            <w:shd w:val="clear" w:color="auto" w:fill="FFFFFF"/>
            <w:noWrap w:val="0"/>
            <w:vAlign w:val="center"/>
          </w:tcPr>
          <w:p w14:paraId="10F3165D">
            <w:pPr>
              <w:spacing w:line="300" w:lineRule="exact"/>
              <w:jc w:val="center"/>
              <w:rPr>
                <w:rFonts w:hint="default"/>
                <w:color w:val="000000"/>
                <w:kern w:val="0"/>
                <w:sz w:val="21"/>
                <w:szCs w:val="21"/>
                <w:lang w:bidi="en-US"/>
              </w:rPr>
            </w:pPr>
            <w:r>
              <w:rPr>
                <w:color w:val="000000"/>
                <w:kern w:val="0"/>
                <w:sz w:val="21"/>
                <w:szCs w:val="21"/>
                <w:lang w:bidi="en-US"/>
              </w:rPr>
              <w:t>汽车拆解破碎分选成套设备</w:t>
            </w:r>
          </w:p>
        </w:tc>
        <w:tc>
          <w:tcPr>
            <w:tcW w:w="2751" w:type="pct"/>
            <w:tcBorders>
              <w:top w:val="single" w:color="auto" w:sz="4" w:space="0"/>
              <w:left w:val="single" w:color="auto" w:sz="4" w:space="0"/>
              <w:bottom w:val="single" w:color="auto" w:sz="4" w:space="0"/>
            </w:tcBorders>
            <w:shd w:val="clear" w:color="auto" w:fill="FFFFFF"/>
            <w:noWrap w:val="0"/>
            <w:vAlign w:val="center"/>
          </w:tcPr>
          <w:p w14:paraId="07C5F495">
            <w:pPr>
              <w:tabs>
                <w:tab w:val="left" w:pos="144"/>
              </w:tabs>
              <w:spacing w:line="300" w:lineRule="exact"/>
              <w:jc w:val="left"/>
              <w:rPr>
                <w:rFonts w:hint="default"/>
                <w:color w:val="000000"/>
                <w:kern w:val="0"/>
                <w:sz w:val="21"/>
                <w:szCs w:val="21"/>
                <w:lang w:bidi="en-US"/>
              </w:rPr>
            </w:pPr>
            <w:r>
              <w:rPr>
                <w:color w:val="000000"/>
                <w:kern w:val="0"/>
                <w:sz w:val="21"/>
                <w:szCs w:val="21"/>
                <w:lang w:bidi="en-US"/>
              </w:rPr>
              <w:t>1.拆解设备：</w:t>
            </w:r>
          </w:p>
          <w:p w14:paraId="6199D605">
            <w:pPr>
              <w:spacing w:line="300" w:lineRule="exact"/>
              <w:jc w:val="left"/>
              <w:rPr>
                <w:rFonts w:hint="default"/>
                <w:color w:val="000000"/>
                <w:kern w:val="0"/>
                <w:sz w:val="21"/>
                <w:szCs w:val="21"/>
                <w:lang w:bidi="en-US"/>
              </w:rPr>
            </w:pPr>
            <w:r>
              <w:rPr>
                <w:color w:val="000000"/>
                <w:kern w:val="0"/>
                <w:sz w:val="21"/>
                <w:szCs w:val="21"/>
                <w:lang w:bidi="en-US"/>
              </w:rPr>
              <w:t>拆解车型：乘用车；</w:t>
            </w:r>
          </w:p>
          <w:p w14:paraId="38489669">
            <w:pPr>
              <w:spacing w:line="300" w:lineRule="exact"/>
              <w:jc w:val="left"/>
              <w:rPr>
                <w:rFonts w:hint="default"/>
                <w:color w:val="000000"/>
                <w:kern w:val="0"/>
                <w:sz w:val="21"/>
                <w:szCs w:val="21"/>
                <w:lang w:bidi="en-US"/>
              </w:rPr>
            </w:pPr>
            <w:r>
              <w:rPr>
                <w:color w:val="000000"/>
                <w:kern w:val="0"/>
                <w:sz w:val="21"/>
                <w:szCs w:val="21"/>
                <w:lang w:bidi="en-US"/>
              </w:rPr>
              <w:t>车型重量：＜2000Kg；</w:t>
            </w:r>
          </w:p>
          <w:p w14:paraId="051DE2BF">
            <w:pPr>
              <w:spacing w:line="300" w:lineRule="exact"/>
              <w:jc w:val="left"/>
              <w:rPr>
                <w:rFonts w:hint="default"/>
                <w:color w:val="000000"/>
                <w:kern w:val="0"/>
                <w:sz w:val="21"/>
                <w:szCs w:val="21"/>
                <w:lang w:bidi="en-US"/>
              </w:rPr>
            </w:pPr>
            <w:r>
              <w:rPr>
                <w:color w:val="000000"/>
                <w:kern w:val="0"/>
                <w:sz w:val="21"/>
                <w:szCs w:val="21"/>
                <w:lang w:bidi="en-US"/>
              </w:rPr>
              <w:t>拆解纲领：1～10万辆/年；</w:t>
            </w:r>
          </w:p>
          <w:p w14:paraId="64997D56">
            <w:pPr>
              <w:spacing w:line="300" w:lineRule="exact"/>
              <w:jc w:val="left"/>
              <w:rPr>
                <w:rFonts w:hint="default"/>
                <w:color w:val="000000"/>
                <w:kern w:val="0"/>
                <w:sz w:val="21"/>
                <w:szCs w:val="21"/>
                <w:lang w:bidi="en-US"/>
              </w:rPr>
            </w:pPr>
            <w:r>
              <w:rPr>
                <w:color w:val="000000"/>
                <w:kern w:val="0"/>
                <w:sz w:val="21"/>
                <w:szCs w:val="21"/>
                <w:lang w:bidi="en-US"/>
              </w:rPr>
              <w:t>总体节拍：7～10分钟/辆；</w:t>
            </w:r>
          </w:p>
          <w:p w14:paraId="3848D3F3">
            <w:pPr>
              <w:spacing w:line="300" w:lineRule="exact"/>
              <w:jc w:val="left"/>
              <w:rPr>
                <w:rFonts w:hint="default"/>
                <w:color w:val="000000"/>
                <w:kern w:val="0"/>
                <w:sz w:val="21"/>
                <w:szCs w:val="21"/>
                <w:lang w:bidi="en-US"/>
              </w:rPr>
            </w:pPr>
            <w:r>
              <w:rPr>
                <w:color w:val="000000"/>
                <w:kern w:val="0"/>
                <w:sz w:val="21"/>
                <w:szCs w:val="21"/>
                <w:lang w:bidi="en-US"/>
              </w:rPr>
              <w:t>主拆解线工位数：11～14个；</w:t>
            </w:r>
          </w:p>
          <w:p w14:paraId="34D16249">
            <w:pPr>
              <w:spacing w:line="300" w:lineRule="exact"/>
              <w:jc w:val="left"/>
              <w:rPr>
                <w:rFonts w:hint="default"/>
                <w:color w:val="000000"/>
                <w:kern w:val="0"/>
                <w:sz w:val="21"/>
                <w:szCs w:val="21"/>
                <w:lang w:bidi="en-US"/>
              </w:rPr>
            </w:pPr>
            <w:r>
              <w:rPr>
                <w:color w:val="000000"/>
                <w:kern w:val="0"/>
                <w:sz w:val="21"/>
                <w:szCs w:val="21"/>
                <w:lang w:bidi="en-US"/>
              </w:rPr>
              <w:t>主拆解线人员配置：15～22人；</w:t>
            </w:r>
          </w:p>
          <w:p w14:paraId="271A4D72">
            <w:pPr>
              <w:spacing w:line="300" w:lineRule="exact"/>
              <w:jc w:val="left"/>
              <w:rPr>
                <w:rFonts w:hint="default"/>
                <w:color w:val="000000"/>
                <w:kern w:val="0"/>
                <w:sz w:val="21"/>
                <w:szCs w:val="21"/>
                <w:lang w:bidi="en-US"/>
              </w:rPr>
            </w:pPr>
            <w:r>
              <w:rPr>
                <w:color w:val="000000"/>
                <w:kern w:val="0"/>
                <w:sz w:val="21"/>
                <w:szCs w:val="21"/>
                <w:lang w:bidi="en-US"/>
              </w:rPr>
              <w:t>物流方式：板链、空中线。</w:t>
            </w:r>
          </w:p>
          <w:p w14:paraId="7F762F1B">
            <w:pPr>
              <w:numPr>
                <w:ilvl w:val="0"/>
                <w:numId w:val="8"/>
              </w:numPr>
              <w:tabs>
                <w:tab w:val="left" w:pos="163"/>
              </w:tabs>
              <w:spacing w:line="300" w:lineRule="exact"/>
              <w:jc w:val="left"/>
              <w:rPr>
                <w:rFonts w:hint="default"/>
                <w:color w:val="000000"/>
                <w:kern w:val="0"/>
                <w:sz w:val="21"/>
                <w:szCs w:val="21"/>
                <w:lang w:bidi="en-US"/>
              </w:rPr>
            </w:pPr>
            <w:r>
              <w:rPr>
                <w:color w:val="000000"/>
                <w:kern w:val="0"/>
                <w:sz w:val="21"/>
                <w:szCs w:val="21"/>
                <w:lang w:bidi="en-US"/>
              </w:rPr>
              <w:t>破碎线：600～1000马力破碎机破碎能力6～10万t/年；颗粒重量离散度小于±10%；相对堆密度大于0.80；</w:t>
            </w:r>
          </w:p>
          <w:p w14:paraId="74A017FF">
            <w:pPr>
              <w:numPr>
                <w:ilvl w:val="0"/>
                <w:numId w:val="8"/>
              </w:numPr>
              <w:tabs>
                <w:tab w:val="left" w:pos="163"/>
              </w:tabs>
              <w:spacing w:line="300" w:lineRule="exact"/>
              <w:jc w:val="left"/>
              <w:rPr>
                <w:rFonts w:hint="default"/>
                <w:color w:val="000000"/>
                <w:kern w:val="0"/>
                <w:sz w:val="21"/>
                <w:szCs w:val="21"/>
                <w:lang w:bidi="en-US"/>
              </w:rPr>
            </w:pPr>
            <w:r>
              <w:rPr>
                <w:color w:val="000000"/>
                <w:kern w:val="0"/>
                <w:sz w:val="21"/>
                <w:szCs w:val="21"/>
                <w:lang w:bidi="en-US"/>
              </w:rPr>
              <w:t>有色金属分选线：黑色金属分选率98%，纯净度不低于98%；有色金属分选率95%，纯净度不低于95%，粉尘＜50mg/Nm</w:t>
            </w:r>
            <w:r>
              <w:rPr>
                <w:color w:val="000000"/>
                <w:kern w:val="0"/>
                <w:sz w:val="21"/>
                <w:szCs w:val="21"/>
                <w:vertAlign w:val="superscript"/>
                <w:lang w:bidi="en-US"/>
              </w:rPr>
              <w:t>3</w:t>
            </w:r>
            <w:r>
              <w:rPr>
                <w:color w:val="000000"/>
                <w:kern w:val="0"/>
                <w:sz w:val="21"/>
                <w:szCs w:val="21"/>
                <w:lang w:bidi="en-US"/>
              </w:rPr>
              <w:t>。</w:t>
            </w:r>
          </w:p>
        </w:tc>
        <w:tc>
          <w:tcPr>
            <w:tcW w:w="1258"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0F9F6E28">
            <w:pPr>
              <w:spacing w:line="269" w:lineRule="exact"/>
              <w:jc w:val="left"/>
              <w:rPr>
                <w:rFonts w:hint="default"/>
                <w:color w:val="000000"/>
                <w:kern w:val="0"/>
                <w:sz w:val="21"/>
                <w:szCs w:val="21"/>
                <w:lang w:bidi="en-US"/>
              </w:rPr>
            </w:pPr>
            <w:r>
              <w:rPr>
                <w:color w:val="000000"/>
                <w:kern w:val="0"/>
                <w:sz w:val="21"/>
                <w:szCs w:val="21"/>
                <w:lang w:bidi="en-US"/>
              </w:rPr>
              <w:t>适用于报废乘用车的拆解、破碎、有色分选；也可适用于社会复杂来源废旧金属的处理、破碎、有色分选。</w:t>
            </w:r>
          </w:p>
        </w:tc>
      </w:tr>
    </w:tbl>
    <w:p w14:paraId="107CB97E">
      <w:pPr>
        <w:spacing w:line="1" w:lineRule="exact"/>
        <w:jc w:val="left"/>
        <w:rPr>
          <w:rFonts w:hint="default" w:ascii="等线" w:hAnsi="等线" w:eastAsia="等线" w:cs="等线"/>
          <w:color w:val="000000"/>
          <w:kern w:val="0"/>
          <w:sz w:val="2"/>
          <w:szCs w:val="2"/>
          <w:lang w:bidi="en-US"/>
        </w:rPr>
      </w:pPr>
      <w:r>
        <w:rPr>
          <w:rFonts w:ascii="等线" w:hAnsi="等线" w:eastAsia="等线" w:cs="等线"/>
          <w:color w:val="000000"/>
          <w:kern w:val="0"/>
          <w:sz w:val="24"/>
          <w:lang w:bidi="en-US"/>
        </w:rPr>
        <w:br w:type="page"/>
      </w:r>
    </w:p>
    <w:p w14:paraId="198C7807">
      <w:pPr>
        <w:spacing w:after="380"/>
        <w:ind w:firstLine="640" w:firstLineChars="200"/>
        <w:jc w:val="left"/>
        <w:rPr>
          <w:rFonts w:hint="default" w:ascii="楷体_GB2312" w:hAnsi="楷体_GB2312" w:eastAsia="楷体_GB2312" w:cs="楷体_GB2312"/>
          <w:b w:val="0"/>
          <w:bCs w:val="0"/>
          <w:color w:val="000000"/>
          <w:kern w:val="0"/>
          <w:sz w:val="32"/>
          <w:szCs w:val="48"/>
          <w:lang w:eastAsia="en-US" w:bidi="en-US"/>
        </w:rPr>
      </w:pPr>
      <w:bookmarkStart w:id="109" w:name="bookmark25"/>
      <w:bookmarkEnd w:id="109"/>
      <w:bookmarkStart w:id="110" w:name="_Toc23911_WPSOffice_Level2"/>
      <w:r>
        <w:rPr>
          <w:rFonts w:ascii="楷体_GB2312" w:hAnsi="楷体_GB2312" w:eastAsia="楷体_GB2312" w:cs="楷体_GB2312"/>
          <w:b w:val="0"/>
          <w:bCs w:val="0"/>
          <w:color w:val="000000"/>
          <w:kern w:val="0"/>
          <w:sz w:val="32"/>
          <w:szCs w:val="48"/>
          <w:lang w:bidi="en-US"/>
        </w:rPr>
        <w:t>（四）</w:t>
      </w:r>
      <w:r>
        <w:rPr>
          <w:rFonts w:ascii="楷体_GB2312" w:hAnsi="楷体_GB2312" w:eastAsia="楷体_GB2312" w:cs="楷体_GB2312"/>
          <w:b w:val="0"/>
          <w:bCs w:val="0"/>
          <w:color w:val="000000"/>
          <w:kern w:val="0"/>
          <w:sz w:val="32"/>
          <w:szCs w:val="48"/>
          <w:lang w:eastAsia="en-US" w:bidi="en-US"/>
        </w:rPr>
        <w:t>废水处理设备</w:t>
      </w:r>
      <w:bookmarkEnd w:id="110"/>
    </w:p>
    <w:tbl>
      <w:tblPr>
        <w:tblStyle w:val="3"/>
        <w:tblW w:w="4998" w:type="pct"/>
        <w:jc w:val="center"/>
        <w:tblLayout w:type="autofit"/>
        <w:tblCellMar>
          <w:top w:w="0" w:type="dxa"/>
          <w:left w:w="10" w:type="dxa"/>
          <w:bottom w:w="0" w:type="dxa"/>
          <w:right w:w="10" w:type="dxa"/>
        </w:tblCellMar>
      </w:tblPr>
      <w:tblGrid>
        <w:gridCol w:w="398"/>
        <w:gridCol w:w="926"/>
        <w:gridCol w:w="1189"/>
        <w:gridCol w:w="4075"/>
        <w:gridCol w:w="1734"/>
      </w:tblGrid>
      <w:tr w14:paraId="506B4B75">
        <w:tblPrEx>
          <w:tblCellMar>
            <w:top w:w="0" w:type="dxa"/>
            <w:left w:w="10" w:type="dxa"/>
            <w:bottom w:w="0" w:type="dxa"/>
            <w:right w:w="10" w:type="dxa"/>
          </w:tblCellMar>
        </w:tblPrEx>
        <w:trPr>
          <w:trHeight w:val="475" w:hRule="exact"/>
          <w:jc w:val="center"/>
        </w:trPr>
        <w:tc>
          <w:tcPr>
            <w:tcW w:w="239" w:type="pct"/>
            <w:tcBorders>
              <w:top w:val="single" w:color="auto" w:sz="4" w:space="0"/>
              <w:left w:val="single" w:color="auto" w:sz="4" w:space="0"/>
            </w:tcBorders>
            <w:shd w:val="clear" w:color="auto" w:fill="FFFFFF"/>
            <w:noWrap w:val="0"/>
            <w:vAlign w:val="center"/>
          </w:tcPr>
          <w:p w14:paraId="2B8E5D00">
            <w:pPr>
              <w:jc w:val="center"/>
              <w:rPr>
                <w:rFonts w:hint="default"/>
                <w:color w:val="000000"/>
                <w:kern w:val="0"/>
                <w:sz w:val="21"/>
                <w:szCs w:val="21"/>
                <w:lang w:eastAsia="en-US" w:bidi="en-US"/>
              </w:rPr>
            </w:pPr>
            <w:r>
              <w:rPr>
                <w:b/>
                <w:bCs/>
                <w:color w:val="000000"/>
                <w:kern w:val="0"/>
                <w:sz w:val="21"/>
                <w:szCs w:val="21"/>
                <w:lang w:eastAsia="en-US" w:bidi="en-US"/>
              </w:rPr>
              <w:t>序号</w:t>
            </w:r>
          </w:p>
        </w:tc>
        <w:tc>
          <w:tcPr>
            <w:tcW w:w="556" w:type="pct"/>
            <w:tcBorders>
              <w:top w:val="single" w:color="auto" w:sz="4" w:space="0"/>
              <w:left w:val="single" w:color="auto" w:sz="4" w:space="0"/>
            </w:tcBorders>
            <w:shd w:val="clear" w:color="auto" w:fill="FFFFFF"/>
            <w:noWrap w:val="0"/>
            <w:vAlign w:val="center"/>
          </w:tcPr>
          <w:p w14:paraId="4D849216">
            <w:pPr>
              <w:jc w:val="center"/>
              <w:rPr>
                <w:rFonts w:hint="default"/>
                <w:color w:val="000000"/>
                <w:kern w:val="0"/>
                <w:sz w:val="21"/>
                <w:szCs w:val="21"/>
                <w:lang w:eastAsia="en-US" w:bidi="en-US"/>
              </w:rPr>
            </w:pPr>
            <w:r>
              <w:rPr>
                <w:b/>
                <w:bCs/>
                <w:color w:val="000000"/>
                <w:kern w:val="0"/>
                <w:sz w:val="21"/>
                <w:szCs w:val="21"/>
                <w:lang w:eastAsia="en-US" w:bidi="en-US"/>
              </w:rPr>
              <w:t>类别</w:t>
            </w:r>
          </w:p>
        </w:tc>
        <w:tc>
          <w:tcPr>
            <w:tcW w:w="714" w:type="pct"/>
            <w:tcBorders>
              <w:top w:val="single" w:color="auto" w:sz="4" w:space="0"/>
              <w:left w:val="single" w:color="auto" w:sz="4" w:space="0"/>
            </w:tcBorders>
            <w:shd w:val="clear" w:color="auto" w:fill="FFFFFF"/>
            <w:noWrap w:val="0"/>
            <w:vAlign w:val="center"/>
          </w:tcPr>
          <w:p w14:paraId="1FD1EF58">
            <w:pPr>
              <w:jc w:val="center"/>
              <w:rPr>
                <w:rFonts w:hint="default"/>
                <w:color w:val="000000"/>
                <w:kern w:val="0"/>
                <w:sz w:val="21"/>
                <w:szCs w:val="21"/>
                <w:lang w:eastAsia="en-US" w:bidi="en-US"/>
              </w:rPr>
            </w:pPr>
            <w:r>
              <w:rPr>
                <w:b/>
                <w:bCs/>
                <w:color w:val="000000"/>
                <w:kern w:val="0"/>
                <w:sz w:val="21"/>
                <w:szCs w:val="21"/>
                <w:lang w:eastAsia="en-US" w:bidi="en-US"/>
              </w:rPr>
              <w:t>设备名称</w:t>
            </w:r>
          </w:p>
        </w:tc>
        <w:tc>
          <w:tcPr>
            <w:tcW w:w="2447" w:type="pct"/>
            <w:tcBorders>
              <w:top w:val="single" w:color="auto" w:sz="4" w:space="0"/>
              <w:left w:val="single" w:color="auto" w:sz="4" w:space="0"/>
            </w:tcBorders>
            <w:shd w:val="clear" w:color="auto" w:fill="FFFFFF"/>
            <w:noWrap w:val="0"/>
            <w:vAlign w:val="center"/>
          </w:tcPr>
          <w:p w14:paraId="29B0C74B">
            <w:pPr>
              <w:jc w:val="center"/>
              <w:rPr>
                <w:rFonts w:hint="default"/>
                <w:color w:val="000000"/>
                <w:kern w:val="0"/>
                <w:sz w:val="21"/>
                <w:szCs w:val="21"/>
                <w:lang w:eastAsia="en-US" w:bidi="en-US"/>
              </w:rPr>
            </w:pPr>
            <w:r>
              <w:rPr>
                <w:b/>
                <w:bCs/>
                <w:color w:val="000000"/>
                <w:kern w:val="0"/>
                <w:sz w:val="21"/>
                <w:szCs w:val="21"/>
                <w:lang w:eastAsia="en-US" w:bidi="en-US"/>
              </w:rPr>
              <w:t>主要指标及技术要求</w:t>
            </w:r>
          </w:p>
        </w:tc>
        <w:tc>
          <w:tcPr>
            <w:tcW w:w="1041" w:type="pct"/>
            <w:tcBorders>
              <w:top w:val="single" w:color="auto" w:sz="4" w:space="0"/>
              <w:left w:val="single" w:color="auto" w:sz="4" w:space="0"/>
              <w:right w:val="single" w:color="auto" w:sz="4" w:space="0"/>
            </w:tcBorders>
            <w:shd w:val="clear" w:color="auto" w:fill="FFFFFF"/>
            <w:noWrap w:val="0"/>
            <w:vAlign w:val="center"/>
          </w:tcPr>
          <w:p w14:paraId="3EEC02DA">
            <w:pPr>
              <w:jc w:val="center"/>
              <w:rPr>
                <w:rFonts w:hint="default"/>
                <w:color w:val="000000"/>
                <w:kern w:val="0"/>
                <w:sz w:val="21"/>
                <w:szCs w:val="21"/>
                <w:lang w:eastAsia="en-US" w:bidi="en-US"/>
              </w:rPr>
            </w:pPr>
            <w:r>
              <w:rPr>
                <w:b/>
                <w:bCs/>
                <w:color w:val="000000"/>
                <w:kern w:val="0"/>
                <w:sz w:val="21"/>
                <w:szCs w:val="21"/>
                <w:lang w:eastAsia="en-US" w:bidi="en-US"/>
              </w:rPr>
              <w:t>主要适用范围</w:t>
            </w:r>
          </w:p>
        </w:tc>
      </w:tr>
      <w:tr w14:paraId="1DE55AC0">
        <w:tblPrEx>
          <w:tblCellMar>
            <w:top w:w="0" w:type="dxa"/>
            <w:left w:w="10" w:type="dxa"/>
            <w:bottom w:w="0" w:type="dxa"/>
            <w:right w:w="10" w:type="dxa"/>
          </w:tblCellMar>
        </w:tblPrEx>
        <w:trPr>
          <w:trHeight w:val="1546" w:hRule="exact"/>
          <w:jc w:val="center"/>
        </w:trPr>
        <w:tc>
          <w:tcPr>
            <w:tcW w:w="239" w:type="pct"/>
            <w:tcBorders>
              <w:top w:val="single" w:color="auto" w:sz="4" w:space="0"/>
              <w:left w:val="single" w:color="auto" w:sz="4" w:space="0"/>
            </w:tcBorders>
            <w:shd w:val="clear" w:color="auto" w:fill="FFFFFF"/>
            <w:noWrap w:val="0"/>
            <w:vAlign w:val="center"/>
          </w:tcPr>
          <w:p w14:paraId="5742B900">
            <w:pPr>
              <w:spacing w:line="300" w:lineRule="exact"/>
              <w:jc w:val="center"/>
              <w:rPr>
                <w:rFonts w:hint="default"/>
                <w:color w:val="000000"/>
                <w:kern w:val="0"/>
                <w:sz w:val="21"/>
                <w:szCs w:val="21"/>
                <w:lang w:eastAsia="en-US" w:bidi="en-US"/>
              </w:rPr>
            </w:pPr>
            <w:r>
              <w:rPr>
                <w:color w:val="000000"/>
                <w:kern w:val="0"/>
                <w:sz w:val="21"/>
                <w:szCs w:val="21"/>
                <w:lang w:eastAsia="en-US" w:bidi="en-US"/>
              </w:rPr>
              <w:t>1</w:t>
            </w:r>
          </w:p>
        </w:tc>
        <w:tc>
          <w:tcPr>
            <w:tcW w:w="556" w:type="pct"/>
            <w:tcBorders>
              <w:top w:val="single" w:color="auto" w:sz="4" w:space="0"/>
              <w:left w:val="single" w:color="auto" w:sz="4" w:space="0"/>
            </w:tcBorders>
            <w:shd w:val="clear" w:color="auto" w:fill="FFFFFF"/>
            <w:noWrap w:val="0"/>
            <w:vAlign w:val="center"/>
          </w:tcPr>
          <w:p w14:paraId="25EACA00">
            <w:pPr>
              <w:spacing w:line="300" w:lineRule="exact"/>
              <w:jc w:val="center"/>
              <w:rPr>
                <w:rFonts w:hint="default"/>
                <w:color w:val="000000"/>
                <w:kern w:val="0"/>
                <w:sz w:val="21"/>
                <w:szCs w:val="21"/>
                <w:lang w:eastAsia="en-US" w:bidi="en-US"/>
              </w:rPr>
            </w:pPr>
            <w:r>
              <w:rPr>
                <w:color w:val="000000"/>
                <w:kern w:val="0"/>
                <w:sz w:val="21"/>
                <w:szCs w:val="21"/>
                <w:lang w:eastAsia="en-US" w:bidi="en-US"/>
              </w:rPr>
              <w:t>筛滤装置</w:t>
            </w:r>
          </w:p>
        </w:tc>
        <w:tc>
          <w:tcPr>
            <w:tcW w:w="714" w:type="pct"/>
            <w:tcBorders>
              <w:top w:val="single" w:color="auto" w:sz="4" w:space="0"/>
              <w:left w:val="single" w:color="auto" w:sz="4" w:space="0"/>
            </w:tcBorders>
            <w:shd w:val="clear" w:color="auto" w:fill="FFFFFF"/>
            <w:noWrap w:val="0"/>
            <w:vAlign w:val="center"/>
          </w:tcPr>
          <w:p w14:paraId="114F5458">
            <w:pPr>
              <w:spacing w:line="300" w:lineRule="exact"/>
              <w:jc w:val="center"/>
              <w:rPr>
                <w:rFonts w:hint="default"/>
                <w:color w:val="000000"/>
                <w:kern w:val="0"/>
                <w:sz w:val="21"/>
                <w:szCs w:val="21"/>
                <w:lang w:eastAsia="en-US" w:bidi="en-US"/>
              </w:rPr>
            </w:pPr>
            <w:r>
              <w:rPr>
                <w:color w:val="000000"/>
                <w:kern w:val="0"/>
                <w:sz w:val="21"/>
                <w:szCs w:val="21"/>
                <w:lang w:eastAsia="en-US" w:bidi="en-US"/>
              </w:rPr>
              <w:t>机械格栅</w:t>
            </w:r>
          </w:p>
        </w:tc>
        <w:tc>
          <w:tcPr>
            <w:tcW w:w="2447" w:type="pct"/>
            <w:tcBorders>
              <w:top w:val="single" w:color="auto" w:sz="4" w:space="0"/>
              <w:left w:val="single" w:color="auto" w:sz="4" w:space="0"/>
            </w:tcBorders>
            <w:shd w:val="clear" w:color="auto" w:fill="FFFFFF"/>
            <w:noWrap w:val="0"/>
            <w:vAlign w:val="center"/>
          </w:tcPr>
          <w:p w14:paraId="01628768">
            <w:pPr>
              <w:spacing w:line="300" w:lineRule="exact"/>
              <w:jc w:val="left"/>
              <w:rPr>
                <w:rFonts w:hint="default"/>
                <w:color w:val="000000"/>
                <w:kern w:val="0"/>
                <w:sz w:val="21"/>
                <w:szCs w:val="21"/>
                <w:lang w:bidi="en-US"/>
              </w:rPr>
            </w:pPr>
            <w:r>
              <w:rPr>
                <w:color w:val="000000"/>
                <w:kern w:val="0"/>
                <w:sz w:val="21"/>
                <w:szCs w:val="21"/>
                <w:lang w:bidi="en-US"/>
              </w:rPr>
              <w:t>平均无故障运行时间＞2000h，运行噪声＜80dB(A)。</w:t>
            </w:r>
          </w:p>
        </w:tc>
        <w:tc>
          <w:tcPr>
            <w:tcW w:w="1041" w:type="pct"/>
            <w:tcBorders>
              <w:top w:val="single" w:color="auto" w:sz="4" w:space="0"/>
              <w:left w:val="single" w:color="auto" w:sz="4" w:space="0"/>
              <w:right w:val="single" w:color="auto" w:sz="4" w:space="0"/>
            </w:tcBorders>
            <w:shd w:val="clear" w:color="auto" w:fill="FFFFFF"/>
            <w:noWrap w:val="0"/>
            <w:vAlign w:val="center"/>
          </w:tcPr>
          <w:p w14:paraId="23A7AE29">
            <w:pPr>
              <w:spacing w:line="300" w:lineRule="exact"/>
              <w:rPr>
                <w:rFonts w:hint="default"/>
                <w:color w:val="000000"/>
                <w:kern w:val="0"/>
                <w:sz w:val="21"/>
                <w:szCs w:val="21"/>
                <w:lang w:bidi="en-US"/>
              </w:rPr>
            </w:pPr>
            <w:r>
              <w:rPr>
                <w:color w:val="000000"/>
                <w:kern w:val="0"/>
                <w:sz w:val="21"/>
                <w:szCs w:val="21"/>
                <w:lang w:bidi="en-US"/>
              </w:rPr>
              <w:t>生活污水和工业废水的预处理。</w:t>
            </w:r>
          </w:p>
        </w:tc>
      </w:tr>
      <w:tr w14:paraId="01C12956">
        <w:tblPrEx>
          <w:tblCellMar>
            <w:top w:w="0" w:type="dxa"/>
            <w:left w:w="10" w:type="dxa"/>
            <w:bottom w:w="0" w:type="dxa"/>
            <w:right w:w="10" w:type="dxa"/>
          </w:tblCellMar>
        </w:tblPrEx>
        <w:trPr>
          <w:trHeight w:val="1398" w:hRule="exact"/>
          <w:jc w:val="center"/>
        </w:trPr>
        <w:tc>
          <w:tcPr>
            <w:tcW w:w="239" w:type="pct"/>
            <w:tcBorders>
              <w:top w:val="single" w:color="auto" w:sz="4" w:space="0"/>
              <w:left w:val="single" w:color="auto" w:sz="4" w:space="0"/>
            </w:tcBorders>
            <w:shd w:val="clear" w:color="auto" w:fill="FFFFFF"/>
            <w:noWrap w:val="0"/>
            <w:vAlign w:val="center"/>
          </w:tcPr>
          <w:p w14:paraId="6B55761E">
            <w:pPr>
              <w:spacing w:line="300" w:lineRule="exact"/>
              <w:jc w:val="center"/>
              <w:rPr>
                <w:rFonts w:hint="default"/>
                <w:color w:val="000000"/>
                <w:kern w:val="0"/>
                <w:sz w:val="21"/>
                <w:szCs w:val="21"/>
                <w:lang w:eastAsia="en-US" w:bidi="en-US"/>
              </w:rPr>
            </w:pPr>
            <w:r>
              <w:rPr>
                <w:color w:val="000000"/>
                <w:kern w:val="0"/>
                <w:sz w:val="21"/>
                <w:szCs w:val="21"/>
                <w:lang w:eastAsia="en-US" w:bidi="en-US"/>
              </w:rPr>
              <w:t>2</w:t>
            </w:r>
          </w:p>
        </w:tc>
        <w:tc>
          <w:tcPr>
            <w:tcW w:w="556" w:type="pct"/>
            <w:vMerge w:val="restart"/>
            <w:tcBorders>
              <w:top w:val="single" w:color="auto" w:sz="4" w:space="0"/>
              <w:left w:val="single" w:color="auto" w:sz="4" w:space="0"/>
            </w:tcBorders>
            <w:shd w:val="clear" w:color="auto" w:fill="FFFFFF"/>
            <w:noWrap w:val="0"/>
            <w:vAlign w:val="center"/>
          </w:tcPr>
          <w:p w14:paraId="728D618B">
            <w:pPr>
              <w:spacing w:line="300" w:lineRule="exact"/>
              <w:jc w:val="center"/>
              <w:rPr>
                <w:rFonts w:hint="default"/>
                <w:color w:val="000000"/>
                <w:kern w:val="0"/>
                <w:sz w:val="21"/>
                <w:szCs w:val="21"/>
                <w:lang w:eastAsia="en-US" w:bidi="en-US"/>
              </w:rPr>
            </w:pPr>
            <w:r>
              <w:rPr>
                <w:color w:val="000000"/>
                <w:kern w:val="0"/>
                <w:sz w:val="21"/>
                <w:szCs w:val="21"/>
                <w:lang w:eastAsia="en-US" w:bidi="en-US"/>
              </w:rPr>
              <w:t>沉砂装置</w:t>
            </w:r>
          </w:p>
        </w:tc>
        <w:tc>
          <w:tcPr>
            <w:tcW w:w="714" w:type="pct"/>
            <w:tcBorders>
              <w:top w:val="single" w:color="auto" w:sz="4" w:space="0"/>
              <w:left w:val="single" w:color="auto" w:sz="4" w:space="0"/>
            </w:tcBorders>
            <w:shd w:val="clear" w:color="auto" w:fill="FFFFFF"/>
            <w:noWrap w:val="0"/>
            <w:vAlign w:val="center"/>
          </w:tcPr>
          <w:p w14:paraId="2B0BBB28">
            <w:pPr>
              <w:spacing w:line="300" w:lineRule="exact"/>
              <w:jc w:val="center"/>
              <w:rPr>
                <w:rFonts w:hint="default"/>
                <w:color w:val="000000"/>
                <w:kern w:val="0"/>
                <w:sz w:val="21"/>
                <w:szCs w:val="21"/>
                <w:lang w:eastAsia="en-US" w:bidi="en-US"/>
              </w:rPr>
            </w:pPr>
            <w:r>
              <w:rPr>
                <w:color w:val="000000"/>
                <w:kern w:val="0"/>
                <w:sz w:val="21"/>
                <w:szCs w:val="21"/>
                <w:lang w:eastAsia="en-US" w:bidi="en-US"/>
              </w:rPr>
              <w:t>刮吸砂机</w:t>
            </w:r>
          </w:p>
        </w:tc>
        <w:tc>
          <w:tcPr>
            <w:tcW w:w="2447" w:type="pct"/>
            <w:tcBorders>
              <w:top w:val="single" w:color="auto" w:sz="4" w:space="0"/>
              <w:left w:val="single" w:color="auto" w:sz="4" w:space="0"/>
            </w:tcBorders>
            <w:shd w:val="clear" w:color="auto" w:fill="FFFFFF"/>
            <w:noWrap w:val="0"/>
            <w:vAlign w:val="center"/>
          </w:tcPr>
          <w:p w14:paraId="16535B8E">
            <w:pPr>
              <w:spacing w:line="300" w:lineRule="exact"/>
              <w:jc w:val="left"/>
              <w:rPr>
                <w:rFonts w:hint="default"/>
                <w:color w:val="000000"/>
                <w:kern w:val="0"/>
                <w:sz w:val="21"/>
                <w:szCs w:val="21"/>
                <w:lang w:bidi="en-US"/>
              </w:rPr>
            </w:pPr>
            <w:r>
              <w:rPr>
                <w:color w:val="000000"/>
                <w:kern w:val="0"/>
                <w:sz w:val="21"/>
                <w:szCs w:val="21"/>
                <w:lang w:bidi="en-US"/>
              </w:rPr>
              <w:t>运行速度：0.01～0.02m/s，相对密度＞2.65g/cm</w:t>
            </w:r>
            <w:r>
              <w:rPr>
                <w:color w:val="000000"/>
                <w:kern w:val="0"/>
                <w:sz w:val="21"/>
                <w:szCs w:val="21"/>
                <w:vertAlign w:val="superscript"/>
                <w:lang w:bidi="en-US"/>
              </w:rPr>
              <w:t>3</w:t>
            </w:r>
            <w:r>
              <w:rPr>
                <w:color w:val="000000"/>
                <w:kern w:val="0"/>
                <w:sz w:val="21"/>
                <w:szCs w:val="21"/>
                <w:lang w:bidi="en-US"/>
              </w:rPr>
              <w:t>，粒径＞0.2mm的砂粒去除率＞90%，无故障工作时间＞8000h。</w:t>
            </w:r>
          </w:p>
        </w:tc>
        <w:tc>
          <w:tcPr>
            <w:tcW w:w="1041" w:type="pct"/>
            <w:tcBorders>
              <w:top w:val="single" w:color="auto" w:sz="4" w:space="0"/>
              <w:left w:val="single" w:color="auto" w:sz="4" w:space="0"/>
              <w:right w:val="single" w:color="auto" w:sz="4" w:space="0"/>
            </w:tcBorders>
            <w:shd w:val="clear" w:color="auto" w:fill="FFFFFF"/>
            <w:noWrap w:val="0"/>
            <w:vAlign w:val="center"/>
          </w:tcPr>
          <w:p w14:paraId="3AB6A7F9">
            <w:pPr>
              <w:spacing w:line="300" w:lineRule="exact"/>
              <w:rPr>
                <w:rFonts w:hint="default"/>
                <w:color w:val="000000"/>
                <w:kern w:val="0"/>
                <w:sz w:val="21"/>
                <w:szCs w:val="21"/>
                <w:lang w:bidi="en-US"/>
              </w:rPr>
            </w:pPr>
            <w:r>
              <w:rPr>
                <w:color w:val="000000"/>
                <w:kern w:val="0"/>
                <w:sz w:val="21"/>
                <w:szCs w:val="21"/>
                <w:lang w:bidi="en-US"/>
              </w:rPr>
              <w:t>生活污水和工业废水的预处理。</w:t>
            </w:r>
          </w:p>
        </w:tc>
      </w:tr>
      <w:tr w14:paraId="77224EF9">
        <w:tblPrEx>
          <w:tblCellMar>
            <w:top w:w="0" w:type="dxa"/>
            <w:left w:w="10" w:type="dxa"/>
            <w:bottom w:w="0" w:type="dxa"/>
            <w:right w:w="10" w:type="dxa"/>
          </w:tblCellMar>
        </w:tblPrEx>
        <w:trPr>
          <w:trHeight w:val="1985" w:hRule="exact"/>
          <w:jc w:val="center"/>
        </w:trPr>
        <w:tc>
          <w:tcPr>
            <w:tcW w:w="239" w:type="pct"/>
            <w:tcBorders>
              <w:top w:val="single" w:color="auto" w:sz="4" w:space="0"/>
              <w:left w:val="single" w:color="auto" w:sz="4" w:space="0"/>
            </w:tcBorders>
            <w:shd w:val="clear" w:color="auto" w:fill="FFFFFF"/>
            <w:noWrap w:val="0"/>
            <w:vAlign w:val="center"/>
          </w:tcPr>
          <w:p w14:paraId="64C1B04C">
            <w:pPr>
              <w:spacing w:line="300" w:lineRule="exact"/>
              <w:jc w:val="center"/>
              <w:rPr>
                <w:rFonts w:hint="default"/>
                <w:color w:val="000000"/>
                <w:kern w:val="0"/>
                <w:sz w:val="21"/>
                <w:szCs w:val="21"/>
                <w:lang w:eastAsia="en-US" w:bidi="en-US"/>
              </w:rPr>
            </w:pPr>
            <w:r>
              <w:rPr>
                <w:color w:val="000000"/>
                <w:kern w:val="0"/>
                <w:sz w:val="21"/>
                <w:szCs w:val="21"/>
                <w:lang w:eastAsia="en-US" w:bidi="en-US"/>
              </w:rPr>
              <w:t>3</w:t>
            </w:r>
          </w:p>
        </w:tc>
        <w:tc>
          <w:tcPr>
            <w:tcW w:w="556" w:type="pct"/>
            <w:vMerge w:val="continue"/>
            <w:tcBorders>
              <w:left w:val="single" w:color="auto" w:sz="4" w:space="0"/>
            </w:tcBorders>
            <w:shd w:val="clear" w:color="auto" w:fill="FFFFFF"/>
            <w:noWrap w:val="0"/>
            <w:vAlign w:val="center"/>
          </w:tcPr>
          <w:p w14:paraId="649532E9">
            <w:pPr>
              <w:spacing w:line="300" w:lineRule="exact"/>
              <w:jc w:val="left"/>
              <w:rPr>
                <w:rFonts w:hint="default"/>
                <w:color w:val="000000"/>
                <w:kern w:val="0"/>
                <w:sz w:val="21"/>
                <w:szCs w:val="21"/>
                <w:lang w:eastAsia="en-US" w:bidi="en-US"/>
              </w:rPr>
            </w:pPr>
          </w:p>
        </w:tc>
        <w:tc>
          <w:tcPr>
            <w:tcW w:w="714" w:type="pct"/>
            <w:tcBorders>
              <w:top w:val="single" w:color="auto" w:sz="4" w:space="0"/>
              <w:left w:val="single" w:color="auto" w:sz="4" w:space="0"/>
            </w:tcBorders>
            <w:shd w:val="clear" w:color="auto" w:fill="FFFFFF"/>
            <w:noWrap w:val="0"/>
            <w:vAlign w:val="center"/>
          </w:tcPr>
          <w:p w14:paraId="6EFA88AB">
            <w:pPr>
              <w:spacing w:line="300" w:lineRule="exact"/>
              <w:jc w:val="left"/>
              <w:rPr>
                <w:rFonts w:hint="default"/>
                <w:color w:val="000000"/>
                <w:kern w:val="0"/>
                <w:sz w:val="21"/>
                <w:szCs w:val="21"/>
                <w:lang w:eastAsia="en-US" w:bidi="en-US"/>
              </w:rPr>
            </w:pPr>
            <w:r>
              <w:rPr>
                <w:color w:val="000000"/>
                <w:kern w:val="0"/>
                <w:sz w:val="21"/>
                <w:szCs w:val="21"/>
                <w:lang w:eastAsia="en-US" w:bidi="en-US"/>
              </w:rPr>
              <w:t>旋流沉砂一体化装置</w:t>
            </w:r>
          </w:p>
        </w:tc>
        <w:tc>
          <w:tcPr>
            <w:tcW w:w="2447" w:type="pct"/>
            <w:tcBorders>
              <w:top w:val="single" w:color="auto" w:sz="4" w:space="0"/>
              <w:left w:val="single" w:color="auto" w:sz="4" w:space="0"/>
            </w:tcBorders>
            <w:shd w:val="clear" w:color="auto" w:fill="FFFFFF"/>
            <w:noWrap w:val="0"/>
            <w:vAlign w:val="center"/>
          </w:tcPr>
          <w:p w14:paraId="11C3CA6D">
            <w:pPr>
              <w:spacing w:line="300" w:lineRule="exact"/>
              <w:jc w:val="left"/>
              <w:rPr>
                <w:rFonts w:hint="default"/>
                <w:color w:val="000000"/>
                <w:kern w:val="0"/>
                <w:sz w:val="21"/>
                <w:szCs w:val="21"/>
                <w:lang w:bidi="en-US"/>
              </w:rPr>
            </w:pPr>
            <w:r>
              <w:rPr>
                <w:color w:val="000000"/>
                <w:kern w:val="0"/>
                <w:sz w:val="21"/>
                <w:szCs w:val="21"/>
                <w:lang w:bidi="en-US"/>
              </w:rPr>
              <w:t>可去除的最小砂粒等效粒径为0.2mm；粒径＞1mm的砂粒去除率＞95%，0.5mm＜粒径＜1mm的砂粒去除率＞85%，0.2mm＜粒径＜0.5mm的砂粒去除率＞65%；除砂装置的空载运转噪声＜66dB(A)，无故障工作时间＞8000h。</w:t>
            </w:r>
          </w:p>
        </w:tc>
        <w:tc>
          <w:tcPr>
            <w:tcW w:w="1041" w:type="pct"/>
            <w:tcBorders>
              <w:top w:val="single" w:color="auto" w:sz="4" w:space="0"/>
              <w:left w:val="single" w:color="auto" w:sz="4" w:space="0"/>
              <w:right w:val="single" w:color="auto" w:sz="4" w:space="0"/>
            </w:tcBorders>
            <w:shd w:val="clear" w:color="auto" w:fill="FFFFFF"/>
            <w:noWrap w:val="0"/>
            <w:vAlign w:val="center"/>
          </w:tcPr>
          <w:p w14:paraId="1C869EF6">
            <w:pPr>
              <w:spacing w:line="300" w:lineRule="exact"/>
              <w:rPr>
                <w:rFonts w:hint="default"/>
                <w:color w:val="000000"/>
                <w:kern w:val="0"/>
                <w:sz w:val="21"/>
                <w:szCs w:val="21"/>
                <w:lang w:bidi="en-US"/>
              </w:rPr>
            </w:pPr>
            <w:r>
              <w:rPr>
                <w:color w:val="000000"/>
                <w:kern w:val="0"/>
                <w:sz w:val="21"/>
                <w:szCs w:val="21"/>
                <w:lang w:bidi="en-US"/>
              </w:rPr>
              <w:t>生活污水和工业废水的预处理。</w:t>
            </w:r>
          </w:p>
        </w:tc>
      </w:tr>
      <w:tr w14:paraId="3813EBA5">
        <w:tblPrEx>
          <w:tblCellMar>
            <w:top w:w="0" w:type="dxa"/>
            <w:left w:w="10" w:type="dxa"/>
            <w:bottom w:w="0" w:type="dxa"/>
            <w:right w:w="10" w:type="dxa"/>
          </w:tblCellMar>
        </w:tblPrEx>
        <w:trPr>
          <w:trHeight w:val="1715" w:hRule="exact"/>
          <w:jc w:val="center"/>
        </w:trPr>
        <w:tc>
          <w:tcPr>
            <w:tcW w:w="239" w:type="pct"/>
            <w:tcBorders>
              <w:top w:val="single" w:color="auto" w:sz="4" w:space="0"/>
              <w:left w:val="single" w:color="auto" w:sz="4" w:space="0"/>
            </w:tcBorders>
            <w:shd w:val="clear" w:color="auto" w:fill="FFFFFF"/>
            <w:noWrap w:val="0"/>
            <w:vAlign w:val="center"/>
          </w:tcPr>
          <w:p w14:paraId="3215FB57">
            <w:pPr>
              <w:spacing w:line="300" w:lineRule="exact"/>
              <w:jc w:val="center"/>
              <w:rPr>
                <w:rFonts w:hint="default"/>
                <w:color w:val="000000"/>
                <w:kern w:val="0"/>
                <w:sz w:val="21"/>
                <w:szCs w:val="21"/>
                <w:lang w:eastAsia="en-US" w:bidi="en-US"/>
              </w:rPr>
            </w:pPr>
            <w:r>
              <w:rPr>
                <w:color w:val="000000"/>
                <w:kern w:val="0"/>
                <w:sz w:val="21"/>
                <w:szCs w:val="21"/>
                <w:lang w:eastAsia="en-US" w:bidi="en-US"/>
              </w:rPr>
              <w:t>4</w:t>
            </w:r>
          </w:p>
        </w:tc>
        <w:tc>
          <w:tcPr>
            <w:tcW w:w="556" w:type="pct"/>
            <w:tcBorders>
              <w:top w:val="single" w:color="auto" w:sz="4" w:space="0"/>
              <w:left w:val="single" w:color="auto" w:sz="4" w:space="0"/>
            </w:tcBorders>
            <w:shd w:val="clear" w:color="auto" w:fill="FFFFFF"/>
            <w:noWrap w:val="0"/>
            <w:vAlign w:val="center"/>
          </w:tcPr>
          <w:p w14:paraId="341C32DC">
            <w:pPr>
              <w:spacing w:line="300" w:lineRule="exact"/>
              <w:jc w:val="center"/>
              <w:rPr>
                <w:rFonts w:hint="default"/>
                <w:color w:val="000000"/>
                <w:kern w:val="0"/>
                <w:sz w:val="21"/>
                <w:szCs w:val="21"/>
                <w:lang w:eastAsia="en-US" w:bidi="en-US"/>
              </w:rPr>
            </w:pPr>
            <w:r>
              <w:rPr>
                <w:color w:val="000000"/>
                <w:kern w:val="0"/>
                <w:sz w:val="21"/>
                <w:szCs w:val="21"/>
                <w:lang w:eastAsia="en-US" w:bidi="en-US"/>
              </w:rPr>
              <w:t>沉淀装置</w:t>
            </w:r>
          </w:p>
        </w:tc>
        <w:tc>
          <w:tcPr>
            <w:tcW w:w="714" w:type="pct"/>
            <w:tcBorders>
              <w:top w:val="single" w:color="auto" w:sz="4" w:space="0"/>
              <w:left w:val="single" w:color="auto" w:sz="4" w:space="0"/>
            </w:tcBorders>
            <w:shd w:val="clear" w:color="auto" w:fill="FFFFFF"/>
            <w:noWrap w:val="0"/>
            <w:vAlign w:val="center"/>
          </w:tcPr>
          <w:p w14:paraId="5CBEEDB7">
            <w:pPr>
              <w:spacing w:line="300" w:lineRule="exact"/>
              <w:jc w:val="center"/>
              <w:rPr>
                <w:rFonts w:hint="default"/>
                <w:color w:val="000000"/>
                <w:kern w:val="0"/>
                <w:sz w:val="21"/>
                <w:szCs w:val="21"/>
                <w:lang w:eastAsia="en-US" w:bidi="en-US"/>
              </w:rPr>
            </w:pPr>
            <w:r>
              <w:rPr>
                <w:color w:val="000000"/>
                <w:kern w:val="0"/>
                <w:sz w:val="21"/>
                <w:szCs w:val="21"/>
                <w:lang w:eastAsia="en-US" w:bidi="en-US"/>
              </w:rPr>
              <w:t>刮吸泥机</w:t>
            </w:r>
          </w:p>
        </w:tc>
        <w:tc>
          <w:tcPr>
            <w:tcW w:w="2447" w:type="pct"/>
            <w:tcBorders>
              <w:top w:val="single" w:color="auto" w:sz="4" w:space="0"/>
              <w:left w:val="single" w:color="auto" w:sz="4" w:space="0"/>
            </w:tcBorders>
            <w:shd w:val="clear" w:color="auto" w:fill="FFFFFF"/>
            <w:noWrap w:val="0"/>
            <w:vAlign w:val="center"/>
          </w:tcPr>
          <w:p w14:paraId="3A026FD9">
            <w:pPr>
              <w:spacing w:line="300" w:lineRule="exact"/>
              <w:jc w:val="left"/>
              <w:rPr>
                <w:rFonts w:hint="default"/>
                <w:color w:val="000000"/>
                <w:kern w:val="0"/>
                <w:sz w:val="21"/>
                <w:szCs w:val="21"/>
                <w:lang w:bidi="en-US"/>
              </w:rPr>
            </w:pPr>
            <w:r>
              <w:rPr>
                <w:color w:val="000000"/>
                <w:kern w:val="0"/>
                <w:sz w:val="21"/>
                <w:szCs w:val="21"/>
                <w:lang w:bidi="en-US"/>
              </w:rPr>
              <w:t>初次沉淀池污泥含水率＜97%，二次沉淀池污泥含水率＜99.2%；辐流式刮板外缘线速度：1～3m/min，桁车式刮板速度：0.6～1.2m/min；链传动式刮板速度：0.4～0.6m/min；运行噪声＜75dB(A)，无故障工作时间＞8000h。</w:t>
            </w:r>
          </w:p>
        </w:tc>
        <w:tc>
          <w:tcPr>
            <w:tcW w:w="1041" w:type="pct"/>
            <w:tcBorders>
              <w:top w:val="single" w:color="auto" w:sz="4" w:space="0"/>
              <w:left w:val="single" w:color="auto" w:sz="4" w:space="0"/>
              <w:right w:val="single" w:color="auto" w:sz="4" w:space="0"/>
            </w:tcBorders>
            <w:shd w:val="clear" w:color="auto" w:fill="FFFFFF"/>
            <w:noWrap w:val="0"/>
            <w:vAlign w:val="center"/>
          </w:tcPr>
          <w:p w14:paraId="696D171C">
            <w:pPr>
              <w:spacing w:line="300" w:lineRule="exact"/>
              <w:rPr>
                <w:rFonts w:hint="default"/>
                <w:color w:val="000000"/>
                <w:kern w:val="0"/>
                <w:sz w:val="21"/>
                <w:szCs w:val="21"/>
                <w:lang w:bidi="en-US"/>
              </w:rPr>
            </w:pPr>
            <w:r>
              <w:rPr>
                <w:color w:val="000000"/>
                <w:kern w:val="0"/>
                <w:sz w:val="21"/>
                <w:szCs w:val="21"/>
                <w:lang w:bidi="en-US"/>
              </w:rPr>
              <w:t>生活污水和工业废水的处理。</w:t>
            </w:r>
          </w:p>
        </w:tc>
      </w:tr>
      <w:tr w14:paraId="361369E4">
        <w:tblPrEx>
          <w:tblCellMar>
            <w:top w:w="0" w:type="dxa"/>
            <w:left w:w="10" w:type="dxa"/>
            <w:bottom w:w="0" w:type="dxa"/>
            <w:right w:w="10" w:type="dxa"/>
          </w:tblCellMar>
        </w:tblPrEx>
        <w:trPr>
          <w:trHeight w:val="709" w:hRule="exact"/>
          <w:jc w:val="center"/>
        </w:trPr>
        <w:tc>
          <w:tcPr>
            <w:tcW w:w="239" w:type="pct"/>
            <w:tcBorders>
              <w:top w:val="single" w:color="auto" w:sz="4" w:space="0"/>
              <w:left w:val="single" w:color="auto" w:sz="4" w:space="0"/>
            </w:tcBorders>
            <w:shd w:val="clear" w:color="auto" w:fill="FFFFFF"/>
            <w:noWrap w:val="0"/>
            <w:vAlign w:val="center"/>
          </w:tcPr>
          <w:p w14:paraId="527E6337">
            <w:pPr>
              <w:spacing w:line="300" w:lineRule="exact"/>
              <w:jc w:val="center"/>
              <w:rPr>
                <w:rFonts w:hint="default"/>
                <w:color w:val="000000"/>
                <w:kern w:val="0"/>
                <w:sz w:val="21"/>
                <w:szCs w:val="21"/>
                <w:lang w:eastAsia="en-US" w:bidi="en-US"/>
              </w:rPr>
            </w:pPr>
            <w:r>
              <w:rPr>
                <w:color w:val="000000"/>
                <w:kern w:val="0"/>
                <w:sz w:val="21"/>
                <w:szCs w:val="21"/>
                <w:lang w:eastAsia="en-US" w:bidi="en-US"/>
              </w:rPr>
              <w:t>5</w:t>
            </w:r>
          </w:p>
        </w:tc>
        <w:tc>
          <w:tcPr>
            <w:tcW w:w="556" w:type="pct"/>
            <w:vMerge w:val="restart"/>
            <w:tcBorders>
              <w:top w:val="single" w:color="auto" w:sz="4" w:space="0"/>
              <w:left w:val="single" w:color="auto" w:sz="4" w:space="0"/>
            </w:tcBorders>
            <w:shd w:val="clear" w:color="auto" w:fill="FFFFFF"/>
            <w:noWrap w:val="0"/>
            <w:vAlign w:val="center"/>
          </w:tcPr>
          <w:p w14:paraId="709059BD">
            <w:pPr>
              <w:spacing w:line="300" w:lineRule="exact"/>
              <w:jc w:val="center"/>
              <w:rPr>
                <w:rFonts w:hint="default"/>
                <w:color w:val="000000"/>
                <w:kern w:val="0"/>
                <w:sz w:val="21"/>
                <w:szCs w:val="21"/>
                <w:lang w:eastAsia="en-US" w:bidi="en-US"/>
              </w:rPr>
            </w:pPr>
            <w:r>
              <w:rPr>
                <w:color w:val="000000"/>
                <w:kern w:val="0"/>
                <w:sz w:val="21"/>
                <w:szCs w:val="21"/>
                <w:lang w:eastAsia="en-US" w:bidi="en-US"/>
              </w:rPr>
              <w:t>油水分离装置</w:t>
            </w:r>
          </w:p>
        </w:tc>
        <w:tc>
          <w:tcPr>
            <w:tcW w:w="714" w:type="pct"/>
            <w:tcBorders>
              <w:top w:val="single" w:color="auto" w:sz="4" w:space="0"/>
              <w:left w:val="single" w:color="auto" w:sz="4" w:space="0"/>
            </w:tcBorders>
            <w:shd w:val="clear" w:color="auto" w:fill="FFFFFF"/>
            <w:noWrap w:val="0"/>
            <w:vAlign w:val="center"/>
          </w:tcPr>
          <w:p w14:paraId="26351783">
            <w:pPr>
              <w:spacing w:line="300" w:lineRule="exact"/>
              <w:jc w:val="center"/>
              <w:rPr>
                <w:rFonts w:hint="default"/>
                <w:color w:val="000000"/>
                <w:kern w:val="0"/>
                <w:sz w:val="21"/>
                <w:szCs w:val="21"/>
                <w:lang w:eastAsia="en-US" w:bidi="en-US"/>
              </w:rPr>
            </w:pPr>
            <w:r>
              <w:rPr>
                <w:color w:val="000000"/>
                <w:kern w:val="0"/>
                <w:sz w:val="21"/>
                <w:szCs w:val="21"/>
                <w:lang w:eastAsia="en-US" w:bidi="en-US"/>
              </w:rPr>
              <w:t>刮油机</w:t>
            </w:r>
          </w:p>
        </w:tc>
        <w:tc>
          <w:tcPr>
            <w:tcW w:w="2447" w:type="pct"/>
            <w:tcBorders>
              <w:top w:val="single" w:color="auto" w:sz="4" w:space="0"/>
              <w:left w:val="single" w:color="auto" w:sz="4" w:space="0"/>
            </w:tcBorders>
            <w:shd w:val="clear" w:color="auto" w:fill="FFFFFF"/>
            <w:noWrap w:val="0"/>
            <w:vAlign w:val="center"/>
          </w:tcPr>
          <w:p w14:paraId="1490596B">
            <w:pPr>
              <w:spacing w:line="300" w:lineRule="exact"/>
              <w:jc w:val="left"/>
              <w:rPr>
                <w:rFonts w:hint="default"/>
                <w:color w:val="000000"/>
                <w:kern w:val="0"/>
                <w:sz w:val="21"/>
                <w:szCs w:val="21"/>
                <w:lang w:bidi="en-US"/>
              </w:rPr>
            </w:pPr>
            <w:r>
              <w:rPr>
                <w:color w:val="000000"/>
                <w:kern w:val="0"/>
                <w:sz w:val="21"/>
                <w:szCs w:val="21"/>
                <w:lang w:bidi="en-US"/>
              </w:rPr>
              <w:t>刮板移动速度＜2m/min，除油率＞80%，无故障工作时间＞8000h。</w:t>
            </w:r>
          </w:p>
        </w:tc>
        <w:tc>
          <w:tcPr>
            <w:tcW w:w="1041" w:type="pct"/>
            <w:vMerge w:val="restart"/>
            <w:tcBorders>
              <w:top w:val="single" w:color="auto" w:sz="4" w:space="0"/>
              <w:left w:val="single" w:color="auto" w:sz="4" w:space="0"/>
              <w:right w:val="single" w:color="auto" w:sz="4" w:space="0"/>
            </w:tcBorders>
            <w:shd w:val="clear" w:color="auto" w:fill="FFFFFF"/>
            <w:noWrap w:val="0"/>
            <w:vAlign w:val="center"/>
          </w:tcPr>
          <w:p w14:paraId="17596501">
            <w:pPr>
              <w:spacing w:line="300" w:lineRule="exact"/>
              <w:rPr>
                <w:rFonts w:hint="default"/>
                <w:color w:val="000000"/>
                <w:kern w:val="0"/>
                <w:sz w:val="21"/>
                <w:szCs w:val="21"/>
                <w:lang w:bidi="en-US"/>
              </w:rPr>
            </w:pPr>
            <w:r>
              <w:rPr>
                <w:color w:val="000000"/>
                <w:kern w:val="0"/>
                <w:sz w:val="21"/>
                <w:szCs w:val="21"/>
                <w:lang w:bidi="en-US"/>
              </w:rPr>
              <w:t>含动植油或石油类污废水。</w:t>
            </w:r>
          </w:p>
        </w:tc>
      </w:tr>
      <w:tr w14:paraId="241A6E03">
        <w:tblPrEx>
          <w:tblCellMar>
            <w:top w:w="0" w:type="dxa"/>
            <w:left w:w="10" w:type="dxa"/>
            <w:bottom w:w="0" w:type="dxa"/>
            <w:right w:w="10" w:type="dxa"/>
          </w:tblCellMar>
        </w:tblPrEx>
        <w:trPr>
          <w:trHeight w:val="705" w:hRule="exact"/>
          <w:jc w:val="center"/>
        </w:trPr>
        <w:tc>
          <w:tcPr>
            <w:tcW w:w="239" w:type="pct"/>
            <w:tcBorders>
              <w:top w:val="single" w:color="auto" w:sz="4" w:space="0"/>
              <w:left w:val="single" w:color="auto" w:sz="4" w:space="0"/>
            </w:tcBorders>
            <w:shd w:val="clear" w:color="auto" w:fill="FFFFFF"/>
            <w:noWrap w:val="0"/>
            <w:vAlign w:val="center"/>
          </w:tcPr>
          <w:p w14:paraId="4D2F5BB8">
            <w:pPr>
              <w:spacing w:line="300" w:lineRule="exact"/>
              <w:jc w:val="center"/>
              <w:rPr>
                <w:rFonts w:hint="default"/>
                <w:color w:val="000000"/>
                <w:kern w:val="0"/>
                <w:sz w:val="21"/>
                <w:szCs w:val="21"/>
                <w:lang w:eastAsia="en-US" w:bidi="en-US"/>
              </w:rPr>
            </w:pPr>
            <w:r>
              <w:rPr>
                <w:color w:val="000000"/>
                <w:kern w:val="0"/>
                <w:sz w:val="21"/>
                <w:szCs w:val="21"/>
                <w:lang w:eastAsia="en-US" w:bidi="en-US"/>
              </w:rPr>
              <w:t>6</w:t>
            </w:r>
          </w:p>
        </w:tc>
        <w:tc>
          <w:tcPr>
            <w:tcW w:w="556" w:type="pct"/>
            <w:vMerge w:val="continue"/>
            <w:tcBorders>
              <w:left w:val="single" w:color="auto" w:sz="4" w:space="0"/>
            </w:tcBorders>
            <w:shd w:val="clear" w:color="auto" w:fill="FFFFFF"/>
            <w:noWrap w:val="0"/>
            <w:vAlign w:val="center"/>
          </w:tcPr>
          <w:p w14:paraId="51F01ECB">
            <w:pPr>
              <w:spacing w:line="300" w:lineRule="exact"/>
              <w:jc w:val="left"/>
              <w:rPr>
                <w:rFonts w:hint="default"/>
                <w:color w:val="000000"/>
                <w:kern w:val="0"/>
                <w:sz w:val="21"/>
                <w:szCs w:val="21"/>
                <w:lang w:eastAsia="en-US" w:bidi="en-US"/>
              </w:rPr>
            </w:pPr>
          </w:p>
        </w:tc>
        <w:tc>
          <w:tcPr>
            <w:tcW w:w="714" w:type="pct"/>
            <w:tcBorders>
              <w:top w:val="single" w:color="auto" w:sz="4" w:space="0"/>
              <w:left w:val="single" w:color="auto" w:sz="4" w:space="0"/>
            </w:tcBorders>
            <w:shd w:val="clear" w:color="auto" w:fill="FFFFFF"/>
            <w:noWrap w:val="0"/>
            <w:vAlign w:val="center"/>
          </w:tcPr>
          <w:p w14:paraId="5CE3355A">
            <w:pPr>
              <w:spacing w:line="300" w:lineRule="exact"/>
              <w:jc w:val="center"/>
              <w:rPr>
                <w:rFonts w:hint="default"/>
                <w:color w:val="000000"/>
                <w:kern w:val="0"/>
                <w:sz w:val="21"/>
                <w:szCs w:val="21"/>
                <w:lang w:eastAsia="en-US" w:bidi="en-US"/>
              </w:rPr>
            </w:pPr>
            <w:r>
              <w:rPr>
                <w:color w:val="000000"/>
                <w:kern w:val="0"/>
                <w:sz w:val="21"/>
                <w:szCs w:val="21"/>
                <w:lang w:eastAsia="en-US" w:bidi="en-US"/>
              </w:rPr>
              <w:t>油水分离器</w:t>
            </w:r>
          </w:p>
        </w:tc>
        <w:tc>
          <w:tcPr>
            <w:tcW w:w="2447" w:type="pct"/>
            <w:tcBorders>
              <w:top w:val="single" w:color="auto" w:sz="4" w:space="0"/>
              <w:left w:val="single" w:color="auto" w:sz="4" w:space="0"/>
            </w:tcBorders>
            <w:shd w:val="clear" w:color="auto" w:fill="FFFFFF"/>
            <w:noWrap w:val="0"/>
            <w:vAlign w:val="center"/>
          </w:tcPr>
          <w:p w14:paraId="50E45666">
            <w:pPr>
              <w:spacing w:line="300" w:lineRule="exact"/>
              <w:jc w:val="left"/>
              <w:rPr>
                <w:rFonts w:hint="default"/>
                <w:color w:val="000000"/>
                <w:kern w:val="0"/>
                <w:sz w:val="21"/>
                <w:szCs w:val="21"/>
                <w:lang w:bidi="en-US"/>
              </w:rPr>
            </w:pPr>
            <w:r>
              <w:rPr>
                <w:color w:val="000000"/>
                <w:kern w:val="0"/>
                <w:sz w:val="21"/>
                <w:szCs w:val="21"/>
                <w:lang w:bidi="en-US"/>
              </w:rPr>
              <w:t>除油率＞80%，无故障工作时间＞8000h。</w:t>
            </w:r>
          </w:p>
        </w:tc>
        <w:tc>
          <w:tcPr>
            <w:tcW w:w="1041" w:type="pct"/>
            <w:vMerge w:val="continue"/>
            <w:tcBorders>
              <w:left w:val="single" w:color="auto" w:sz="4" w:space="0"/>
              <w:right w:val="single" w:color="auto" w:sz="4" w:space="0"/>
            </w:tcBorders>
            <w:shd w:val="clear" w:color="auto" w:fill="FFFFFF"/>
            <w:noWrap w:val="0"/>
            <w:vAlign w:val="center"/>
          </w:tcPr>
          <w:p w14:paraId="79746A39">
            <w:pPr>
              <w:spacing w:line="300" w:lineRule="exact"/>
              <w:jc w:val="left"/>
              <w:rPr>
                <w:rFonts w:hint="default"/>
                <w:color w:val="000000"/>
                <w:kern w:val="0"/>
                <w:sz w:val="21"/>
                <w:szCs w:val="21"/>
                <w:lang w:bidi="en-US"/>
              </w:rPr>
            </w:pPr>
          </w:p>
        </w:tc>
      </w:tr>
      <w:tr w14:paraId="19D0A345">
        <w:tblPrEx>
          <w:tblCellMar>
            <w:top w:w="0" w:type="dxa"/>
            <w:left w:w="10" w:type="dxa"/>
            <w:bottom w:w="0" w:type="dxa"/>
            <w:right w:w="10" w:type="dxa"/>
          </w:tblCellMar>
        </w:tblPrEx>
        <w:trPr>
          <w:trHeight w:val="1268" w:hRule="exact"/>
          <w:jc w:val="center"/>
        </w:trPr>
        <w:tc>
          <w:tcPr>
            <w:tcW w:w="239" w:type="pct"/>
            <w:tcBorders>
              <w:top w:val="single" w:color="auto" w:sz="4" w:space="0"/>
              <w:left w:val="single" w:color="auto" w:sz="4" w:space="0"/>
            </w:tcBorders>
            <w:shd w:val="clear" w:color="auto" w:fill="FFFFFF"/>
            <w:noWrap w:val="0"/>
            <w:vAlign w:val="center"/>
          </w:tcPr>
          <w:p w14:paraId="34475209">
            <w:pPr>
              <w:spacing w:line="300" w:lineRule="exact"/>
              <w:jc w:val="center"/>
              <w:rPr>
                <w:rFonts w:hint="default"/>
                <w:color w:val="000000"/>
                <w:kern w:val="0"/>
                <w:sz w:val="21"/>
                <w:szCs w:val="21"/>
                <w:lang w:eastAsia="en-US" w:bidi="en-US"/>
              </w:rPr>
            </w:pPr>
            <w:r>
              <w:rPr>
                <w:color w:val="000000"/>
                <w:kern w:val="0"/>
                <w:sz w:val="21"/>
                <w:szCs w:val="21"/>
                <w:lang w:eastAsia="en-US" w:bidi="en-US"/>
              </w:rPr>
              <w:t>7</w:t>
            </w:r>
          </w:p>
        </w:tc>
        <w:tc>
          <w:tcPr>
            <w:tcW w:w="556" w:type="pct"/>
            <w:vMerge w:val="restart"/>
            <w:tcBorders>
              <w:top w:val="single" w:color="auto" w:sz="4" w:space="0"/>
              <w:left w:val="single" w:color="auto" w:sz="4" w:space="0"/>
            </w:tcBorders>
            <w:shd w:val="clear" w:color="auto" w:fill="FFFFFF"/>
            <w:noWrap w:val="0"/>
            <w:vAlign w:val="center"/>
          </w:tcPr>
          <w:p w14:paraId="09849F92">
            <w:pPr>
              <w:spacing w:line="300" w:lineRule="exact"/>
              <w:jc w:val="center"/>
              <w:rPr>
                <w:rFonts w:hint="default"/>
                <w:color w:val="000000"/>
                <w:kern w:val="0"/>
                <w:sz w:val="21"/>
                <w:szCs w:val="21"/>
                <w:lang w:eastAsia="en-US" w:bidi="en-US"/>
              </w:rPr>
            </w:pPr>
            <w:r>
              <w:rPr>
                <w:color w:val="000000"/>
                <w:kern w:val="0"/>
                <w:sz w:val="21"/>
                <w:szCs w:val="21"/>
                <w:lang w:eastAsia="en-US" w:bidi="en-US"/>
              </w:rPr>
              <w:t>气浮分离装置</w:t>
            </w:r>
          </w:p>
        </w:tc>
        <w:tc>
          <w:tcPr>
            <w:tcW w:w="714" w:type="pct"/>
            <w:tcBorders>
              <w:top w:val="single" w:color="auto" w:sz="4" w:space="0"/>
              <w:left w:val="single" w:color="auto" w:sz="4" w:space="0"/>
            </w:tcBorders>
            <w:shd w:val="clear" w:color="auto" w:fill="FFFFFF"/>
            <w:noWrap w:val="0"/>
            <w:vAlign w:val="center"/>
          </w:tcPr>
          <w:p w14:paraId="1AFBA19F">
            <w:pPr>
              <w:spacing w:line="300" w:lineRule="exact"/>
              <w:jc w:val="left"/>
              <w:rPr>
                <w:rFonts w:hint="default"/>
                <w:color w:val="000000"/>
                <w:kern w:val="0"/>
                <w:sz w:val="21"/>
                <w:szCs w:val="21"/>
                <w:lang w:eastAsia="en-US" w:bidi="en-US"/>
              </w:rPr>
            </w:pPr>
            <w:r>
              <w:rPr>
                <w:color w:val="000000"/>
                <w:kern w:val="0"/>
                <w:sz w:val="21"/>
                <w:szCs w:val="21"/>
                <w:lang w:eastAsia="en-US" w:bidi="en-US"/>
              </w:rPr>
              <w:t>加压溶气气浮装置</w:t>
            </w:r>
          </w:p>
        </w:tc>
        <w:tc>
          <w:tcPr>
            <w:tcW w:w="2447" w:type="pct"/>
            <w:tcBorders>
              <w:top w:val="single" w:color="auto" w:sz="4" w:space="0"/>
              <w:left w:val="single" w:color="auto" w:sz="4" w:space="0"/>
            </w:tcBorders>
            <w:shd w:val="clear" w:color="auto" w:fill="FFFFFF"/>
            <w:noWrap w:val="0"/>
            <w:vAlign w:val="center"/>
          </w:tcPr>
          <w:p w14:paraId="086C8BDA">
            <w:pPr>
              <w:spacing w:line="300" w:lineRule="exact"/>
              <w:jc w:val="left"/>
              <w:rPr>
                <w:rFonts w:hint="default"/>
                <w:color w:val="000000"/>
                <w:kern w:val="0"/>
                <w:sz w:val="21"/>
                <w:szCs w:val="21"/>
                <w:lang w:bidi="en-US"/>
              </w:rPr>
            </w:pPr>
            <w:r>
              <w:rPr>
                <w:color w:val="000000"/>
                <w:kern w:val="0"/>
                <w:sz w:val="21"/>
                <w:szCs w:val="21"/>
                <w:lang w:bidi="en-US"/>
              </w:rPr>
              <w:t>当进水SS在100～500mg/L时，SS去除率＞80%；当进水SS在500～2500mg/L时，SS去除率＞90%；除油率＞60%，具有自动化控制系统。</w:t>
            </w:r>
          </w:p>
        </w:tc>
        <w:tc>
          <w:tcPr>
            <w:tcW w:w="1041" w:type="pct"/>
            <w:vMerge w:val="restart"/>
            <w:tcBorders>
              <w:top w:val="single" w:color="auto" w:sz="4" w:space="0"/>
              <w:left w:val="single" w:color="auto" w:sz="4" w:space="0"/>
              <w:right w:val="single" w:color="auto" w:sz="4" w:space="0"/>
            </w:tcBorders>
            <w:shd w:val="clear" w:color="auto" w:fill="FFFFFF"/>
            <w:noWrap w:val="0"/>
            <w:vAlign w:val="center"/>
          </w:tcPr>
          <w:p w14:paraId="706D519B">
            <w:pPr>
              <w:spacing w:line="300" w:lineRule="exact"/>
              <w:rPr>
                <w:rFonts w:hint="default"/>
                <w:color w:val="000000"/>
                <w:kern w:val="0"/>
                <w:sz w:val="21"/>
                <w:szCs w:val="21"/>
                <w:lang w:bidi="en-US"/>
              </w:rPr>
            </w:pPr>
            <w:r>
              <w:rPr>
                <w:color w:val="000000"/>
                <w:kern w:val="0"/>
                <w:sz w:val="21"/>
                <w:szCs w:val="21"/>
                <w:lang w:bidi="en-US"/>
              </w:rPr>
              <w:t>含乳化油、悬浮物的污废水。</w:t>
            </w:r>
          </w:p>
        </w:tc>
      </w:tr>
      <w:tr w14:paraId="682DB90D">
        <w:tblPrEx>
          <w:tblCellMar>
            <w:top w:w="0" w:type="dxa"/>
            <w:left w:w="10" w:type="dxa"/>
            <w:bottom w:w="0" w:type="dxa"/>
            <w:right w:w="10" w:type="dxa"/>
          </w:tblCellMar>
        </w:tblPrEx>
        <w:trPr>
          <w:trHeight w:val="705" w:hRule="exact"/>
          <w:jc w:val="center"/>
        </w:trPr>
        <w:tc>
          <w:tcPr>
            <w:tcW w:w="239" w:type="pct"/>
            <w:tcBorders>
              <w:top w:val="single" w:color="auto" w:sz="4" w:space="0"/>
              <w:left w:val="single" w:color="auto" w:sz="4" w:space="0"/>
            </w:tcBorders>
            <w:shd w:val="clear" w:color="auto" w:fill="FFFFFF"/>
            <w:noWrap w:val="0"/>
            <w:vAlign w:val="center"/>
          </w:tcPr>
          <w:p w14:paraId="582CE3B2">
            <w:pPr>
              <w:spacing w:line="300" w:lineRule="exact"/>
              <w:jc w:val="center"/>
              <w:rPr>
                <w:rFonts w:hint="default"/>
                <w:color w:val="000000"/>
                <w:kern w:val="0"/>
                <w:sz w:val="21"/>
                <w:szCs w:val="21"/>
                <w:lang w:eastAsia="en-US" w:bidi="en-US"/>
              </w:rPr>
            </w:pPr>
            <w:r>
              <w:rPr>
                <w:color w:val="000000"/>
                <w:kern w:val="0"/>
                <w:sz w:val="21"/>
                <w:szCs w:val="21"/>
                <w:lang w:eastAsia="en-US" w:bidi="en-US"/>
              </w:rPr>
              <w:t>8</w:t>
            </w:r>
          </w:p>
        </w:tc>
        <w:tc>
          <w:tcPr>
            <w:tcW w:w="556" w:type="pct"/>
            <w:vMerge w:val="continue"/>
            <w:tcBorders>
              <w:left w:val="single" w:color="auto" w:sz="4" w:space="0"/>
            </w:tcBorders>
            <w:shd w:val="clear" w:color="auto" w:fill="FFFFFF"/>
            <w:noWrap w:val="0"/>
            <w:vAlign w:val="center"/>
          </w:tcPr>
          <w:p w14:paraId="4AD4BE10">
            <w:pPr>
              <w:spacing w:line="300" w:lineRule="exact"/>
              <w:jc w:val="left"/>
              <w:rPr>
                <w:rFonts w:hint="default"/>
                <w:color w:val="000000"/>
                <w:kern w:val="0"/>
                <w:sz w:val="21"/>
                <w:szCs w:val="21"/>
                <w:lang w:eastAsia="en-US" w:bidi="en-US"/>
              </w:rPr>
            </w:pPr>
          </w:p>
        </w:tc>
        <w:tc>
          <w:tcPr>
            <w:tcW w:w="714" w:type="pct"/>
            <w:tcBorders>
              <w:top w:val="single" w:color="auto" w:sz="4" w:space="0"/>
              <w:left w:val="single" w:color="auto" w:sz="4" w:space="0"/>
            </w:tcBorders>
            <w:shd w:val="clear" w:color="auto" w:fill="FFFFFF"/>
            <w:noWrap w:val="0"/>
            <w:vAlign w:val="center"/>
          </w:tcPr>
          <w:p w14:paraId="7EBC3BE9">
            <w:pPr>
              <w:spacing w:line="300" w:lineRule="exact"/>
              <w:jc w:val="center"/>
              <w:rPr>
                <w:rFonts w:hint="default"/>
                <w:color w:val="000000"/>
                <w:kern w:val="0"/>
                <w:sz w:val="21"/>
                <w:szCs w:val="21"/>
                <w:lang w:eastAsia="en-US" w:bidi="en-US"/>
              </w:rPr>
            </w:pPr>
            <w:r>
              <w:rPr>
                <w:color w:val="000000"/>
                <w:kern w:val="0"/>
                <w:sz w:val="21"/>
                <w:szCs w:val="21"/>
                <w:lang w:eastAsia="en-US" w:bidi="en-US"/>
              </w:rPr>
              <w:t>涡凹气浮装置</w:t>
            </w:r>
          </w:p>
        </w:tc>
        <w:tc>
          <w:tcPr>
            <w:tcW w:w="2447" w:type="pct"/>
            <w:tcBorders>
              <w:top w:val="single" w:color="auto" w:sz="4" w:space="0"/>
              <w:left w:val="single" w:color="auto" w:sz="4" w:space="0"/>
            </w:tcBorders>
            <w:shd w:val="clear" w:color="auto" w:fill="FFFFFF"/>
            <w:noWrap w:val="0"/>
            <w:vAlign w:val="center"/>
          </w:tcPr>
          <w:p w14:paraId="20FD9EDF">
            <w:pPr>
              <w:spacing w:line="300" w:lineRule="exact"/>
              <w:jc w:val="left"/>
              <w:rPr>
                <w:rFonts w:hint="default"/>
                <w:color w:val="000000"/>
                <w:kern w:val="0"/>
                <w:sz w:val="21"/>
                <w:szCs w:val="21"/>
                <w:lang w:bidi="en-US"/>
              </w:rPr>
            </w:pPr>
            <w:r>
              <w:rPr>
                <w:color w:val="000000"/>
                <w:kern w:val="0"/>
                <w:sz w:val="21"/>
                <w:szCs w:val="21"/>
                <w:lang w:bidi="en-US"/>
              </w:rPr>
              <w:t>SS去除率＞80%，除油率＞60%，具有自动化控制系统。</w:t>
            </w:r>
          </w:p>
        </w:tc>
        <w:tc>
          <w:tcPr>
            <w:tcW w:w="1041" w:type="pct"/>
            <w:vMerge w:val="continue"/>
            <w:tcBorders>
              <w:left w:val="single" w:color="auto" w:sz="4" w:space="0"/>
              <w:right w:val="single" w:color="auto" w:sz="4" w:space="0"/>
            </w:tcBorders>
            <w:shd w:val="clear" w:color="auto" w:fill="FFFFFF"/>
            <w:noWrap w:val="0"/>
            <w:vAlign w:val="center"/>
          </w:tcPr>
          <w:p w14:paraId="226557CA">
            <w:pPr>
              <w:spacing w:line="300" w:lineRule="exact"/>
              <w:jc w:val="left"/>
              <w:rPr>
                <w:rFonts w:hint="default"/>
                <w:color w:val="000000"/>
                <w:kern w:val="0"/>
                <w:sz w:val="21"/>
                <w:szCs w:val="21"/>
                <w:lang w:bidi="en-US"/>
              </w:rPr>
            </w:pPr>
          </w:p>
        </w:tc>
      </w:tr>
      <w:tr w14:paraId="21DF46A1">
        <w:tblPrEx>
          <w:tblCellMar>
            <w:top w:w="0" w:type="dxa"/>
            <w:left w:w="10" w:type="dxa"/>
            <w:bottom w:w="0" w:type="dxa"/>
            <w:right w:w="10" w:type="dxa"/>
          </w:tblCellMar>
        </w:tblPrEx>
        <w:trPr>
          <w:trHeight w:val="1136" w:hRule="exact"/>
          <w:jc w:val="center"/>
        </w:trPr>
        <w:tc>
          <w:tcPr>
            <w:tcW w:w="239" w:type="pct"/>
            <w:tcBorders>
              <w:top w:val="single" w:color="auto" w:sz="4" w:space="0"/>
              <w:left w:val="single" w:color="auto" w:sz="4" w:space="0"/>
              <w:bottom w:val="single" w:color="auto" w:sz="4" w:space="0"/>
            </w:tcBorders>
            <w:shd w:val="clear" w:color="auto" w:fill="FFFFFF"/>
            <w:noWrap w:val="0"/>
            <w:vAlign w:val="center"/>
          </w:tcPr>
          <w:p w14:paraId="55211307">
            <w:pPr>
              <w:spacing w:line="300" w:lineRule="exact"/>
              <w:jc w:val="center"/>
              <w:rPr>
                <w:rFonts w:hint="default"/>
                <w:color w:val="000000"/>
                <w:kern w:val="0"/>
                <w:sz w:val="21"/>
                <w:szCs w:val="21"/>
                <w:lang w:eastAsia="en-US" w:bidi="en-US"/>
              </w:rPr>
            </w:pPr>
            <w:r>
              <w:rPr>
                <w:color w:val="000000"/>
                <w:kern w:val="0"/>
                <w:sz w:val="21"/>
                <w:szCs w:val="21"/>
                <w:lang w:eastAsia="en-US" w:bidi="en-US"/>
              </w:rPr>
              <w:t>9</w:t>
            </w:r>
          </w:p>
        </w:tc>
        <w:tc>
          <w:tcPr>
            <w:tcW w:w="556" w:type="pct"/>
            <w:vMerge w:val="continue"/>
            <w:tcBorders>
              <w:left w:val="single" w:color="auto" w:sz="4" w:space="0"/>
              <w:bottom w:val="single" w:color="auto" w:sz="4" w:space="0"/>
            </w:tcBorders>
            <w:shd w:val="clear" w:color="auto" w:fill="FFFFFF"/>
            <w:noWrap w:val="0"/>
            <w:vAlign w:val="center"/>
          </w:tcPr>
          <w:p w14:paraId="77C1C288">
            <w:pPr>
              <w:spacing w:line="300" w:lineRule="exact"/>
              <w:jc w:val="left"/>
              <w:rPr>
                <w:rFonts w:hint="default"/>
                <w:color w:val="000000"/>
                <w:kern w:val="0"/>
                <w:sz w:val="21"/>
                <w:szCs w:val="21"/>
                <w:lang w:eastAsia="en-US" w:bidi="en-US"/>
              </w:rPr>
            </w:pPr>
          </w:p>
        </w:tc>
        <w:tc>
          <w:tcPr>
            <w:tcW w:w="714" w:type="pct"/>
            <w:tcBorders>
              <w:top w:val="single" w:color="auto" w:sz="4" w:space="0"/>
              <w:left w:val="single" w:color="auto" w:sz="4" w:space="0"/>
              <w:bottom w:val="single" w:color="auto" w:sz="4" w:space="0"/>
            </w:tcBorders>
            <w:shd w:val="clear" w:color="auto" w:fill="FFFFFF"/>
            <w:noWrap w:val="0"/>
            <w:vAlign w:val="center"/>
          </w:tcPr>
          <w:p w14:paraId="13EFD258">
            <w:pPr>
              <w:spacing w:line="300" w:lineRule="exact"/>
              <w:jc w:val="center"/>
              <w:rPr>
                <w:rFonts w:hint="default"/>
                <w:color w:val="000000"/>
                <w:kern w:val="0"/>
                <w:sz w:val="21"/>
                <w:szCs w:val="21"/>
                <w:lang w:eastAsia="en-US" w:bidi="en-US"/>
              </w:rPr>
            </w:pPr>
            <w:r>
              <w:rPr>
                <w:color w:val="000000"/>
                <w:kern w:val="0"/>
                <w:sz w:val="21"/>
                <w:szCs w:val="21"/>
                <w:lang w:eastAsia="en-US" w:bidi="en-US"/>
              </w:rPr>
              <w:t>浅池气浮装置</w:t>
            </w:r>
          </w:p>
        </w:tc>
        <w:tc>
          <w:tcPr>
            <w:tcW w:w="2447" w:type="pct"/>
            <w:tcBorders>
              <w:top w:val="single" w:color="auto" w:sz="4" w:space="0"/>
              <w:left w:val="single" w:color="auto" w:sz="4" w:space="0"/>
              <w:bottom w:val="single" w:color="auto" w:sz="4" w:space="0"/>
            </w:tcBorders>
            <w:shd w:val="clear" w:color="auto" w:fill="FFFFFF"/>
            <w:noWrap w:val="0"/>
            <w:vAlign w:val="center"/>
          </w:tcPr>
          <w:p w14:paraId="0059FDBC">
            <w:pPr>
              <w:spacing w:line="300" w:lineRule="exact"/>
              <w:jc w:val="left"/>
              <w:rPr>
                <w:rFonts w:hint="default"/>
                <w:color w:val="000000"/>
                <w:kern w:val="0"/>
                <w:sz w:val="21"/>
                <w:szCs w:val="21"/>
                <w:lang w:bidi="en-US"/>
              </w:rPr>
            </w:pPr>
            <w:r>
              <w:rPr>
                <w:color w:val="000000"/>
                <w:kern w:val="0"/>
                <w:sz w:val="21"/>
                <w:szCs w:val="21"/>
                <w:lang w:bidi="en-US"/>
              </w:rPr>
              <w:t>当进水SS在100～500mg/L时，SS去除率＞80%；当进水SS在500～2500mg/L时，SS去除率＞90%；除油率＞60%，具有自动化控制系统。</w:t>
            </w:r>
          </w:p>
        </w:tc>
        <w:tc>
          <w:tcPr>
            <w:tcW w:w="1041" w:type="pct"/>
            <w:vMerge w:val="continue"/>
            <w:tcBorders>
              <w:left w:val="single" w:color="auto" w:sz="4" w:space="0"/>
              <w:bottom w:val="single" w:color="auto" w:sz="4" w:space="0"/>
              <w:right w:val="single" w:color="auto" w:sz="4" w:space="0"/>
            </w:tcBorders>
            <w:shd w:val="clear" w:color="auto" w:fill="FFFFFF"/>
            <w:noWrap w:val="0"/>
            <w:vAlign w:val="center"/>
          </w:tcPr>
          <w:p w14:paraId="13494792">
            <w:pPr>
              <w:spacing w:line="300" w:lineRule="exact"/>
              <w:jc w:val="left"/>
              <w:rPr>
                <w:rFonts w:hint="default"/>
                <w:color w:val="000000"/>
                <w:kern w:val="0"/>
                <w:sz w:val="21"/>
                <w:szCs w:val="21"/>
                <w:lang w:bidi="en-US"/>
              </w:rPr>
            </w:pPr>
          </w:p>
        </w:tc>
      </w:tr>
    </w:tbl>
    <w:p w14:paraId="5F76A828">
      <w:pPr>
        <w:spacing w:line="300" w:lineRule="exact"/>
        <w:jc w:val="left"/>
        <w:rPr>
          <w:rFonts w:hint="default"/>
          <w:color w:val="000000"/>
          <w:kern w:val="0"/>
          <w:sz w:val="21"/>
          <w:szCs w:val="21"/>
          <w:lang w:bidi="en-US"/>
        </w:rPr>
      </w:pPr>
      <w:r>
        <w:rPr>
          <w:color w:val="000000"/>
          <w:kern w:val="0"/>
          <w:sz w:val="21"/>
          <w:szCs w:val="21"/>
          <w:lang w:bidi="en-US"/>
        </w:rPr>
        <w:br w:type="page"/>
      </w:r>
    </w:p>
    <w:tbl>
      <w:tblPr>
        <w:tblStyle w:val="3"/>
        <w:tblW w:w="4998" w:type="pct"/>
        <w:jc w:val="center"/>
        <w:tblLayout w:type="autofit"/>
        <w:tblCellMar>
          <w:top w:w="0" w:type="dxa"/>
          <w:left w:w="10" w:type="dxa"/>
          <w:bottom w:w="0" w:type="dxa"/>
          <w:right w:w="10" w:type="dxa"/>
        </w:tblCellMar>
      </w:tblPr>
      <w:tblGrid>
        <w:gridCol w:w="398"/>
        <w:gridCol w:w="926"/>
        <w:gridCol w:w="1189"/>
        <w:gridCol w:w="4075"/>
        <w:gridCol w:w="1734"/>
      </w:tblGrid>
      <w:tr w14:paraId="30B9C134">
        <w:tblPrEx>
          <w:tblCellMar>
            <w:top w:w="0" w:type="dxa"/>
            <w:left w:w="10" w:type="dxa"/>
            <w:bottom w:w="0" w:type="dxa"/>
            <w:right w:w="10" w:type="dxa"/>
          </w:tblCellMar>
        </w:tblPrEx>
        <w:trPr>
          <w:trHeight w:val="480" w:hRule="exact"/>
          <w:jc w:val="center"/>
        </w:trPr>
        <w:tc>
          <w:tcPr>
            <w:tcW w:w="239" w:type="pct"/>
            <w:tcBorders>
              <w:top w:val="single" w:color="auto" w:sz="4" w:space="0"/>
              <w:left w:val="single" w:color="auto" w:sz="4" w:space="0"/>
            </w:tcBorders>
            <w:shd w:val="clear" w:color="auto" w:fill="FFFFFF"/>
            <w:noWrap w:val="0"/>
            <w:vAlign w:val="center"/>
          </w:tcPr>
          <w:p w14:paraId="5B306DEF">
            <w:pPr>
              <w:jc w:val="center"/>
              <w:rPr>
                <w:rFonts w:hint="default"/>
                <w:color w:val="000000"/>
                <w:kern w:val="0"/>
                <w:sz w:val="21"/>
                <w:szCs w:val="21"/>
                <w:lang w:eastAsia="en-US" w:bidi="en-US"/>
              </w:rPr>
            </w:pPr>
            <w:r>
              <w:rPr>
                <w:b/>
                <w:bCs/>
                <w:color w:val="000000"/>
                <w:kern w:val="0"/>
                <w:sz w:val="21"/>
                <w:szCs w:val="21"/>
                <w:lang w:eastAsia="en-US" w:bidi="en-US"/>
              </w:rPr>
              <w:t>序号</w:t>
            </w:r>
          </w:p>
        </w:tc>
        <w:tc>
          <w:tcPr>
            <w:tcW w:w="556" w:type="pct"/>
            <w:tcBorders>
              <w:top w:val="single" w:color="auto" w:sz="4" w:space="0"/>
              <w:left w:val="single" w:color="auto" w:sz="4" w:space="0"/>
            </w:tcBorders>
            <w:shd w:val="clear" w:color="auto" w:fill="FFFFFF"/>
            <w:noWrap w:val="0"/>
            <w:vAlign w:val="center"/>
          </w:tcPr>
          <w:p w14:paraId="367D5F4C">
            <w:pPr>
              <w:jc w:val="center"/>
              <w:rPr>
                <w:rFonts w:hint="default"/>
                <w:color w:val="000000"/>
                <w:kern w:val="0"/>
                <w:sz w:val="21"/>
                <w:szCs w:val="21"/>
                <w:lang w:eastAsia="en-US" w:bidi="en-US"/>
              </w:rPr>
            </w:pPr>
            <w:r>
              <w:rPr>
                <w:b/>
                <w:bCs/>
                <w:color w:val="000000"/>
                <w:kern w:val="0"/>
                <w:sz w:val="21"/>
                <w:szCs w:val="21"/>
                <w:lang w:eastAsia="en-US" w:bidi="en-US"/>
              </w:rPr>
              <w:t>类别</w:t>
            </w:r>
          </w:p>
        </w:tc>
        <w:tc>
          <w:tcPr>
            <w:tcW w:w="714" w:type="pct"/>
            <w:tcBorders>
              <w:top w:val="single" w:color="auto" w:sz="4" w:space="0"/>
              <w:left w:val="single" w:color="auto" w:sz="4" w:space="0"/>
            </w:tcBorders>
            <w:shd w:val="clear" w:color="auto" w:fill="FFFFFF"/>
            <w:noWrap w:val="0"/>
            <w:vAlign w:val="center"/>
          </w:tcPr>
          <w:p w14:paraId="10666105">
            <w:pPr>
              <w:jc w:val="center"/>
              <w:rPr>
                <w:rFonts w:hint="default"/>
                <w:color w:val="000000"/>
                <w:kern w:val="0"/>
                <w:sz w:val="21"/>
                <w:szCs w:val="21"/>
                <w:lang w:eastAsia="en-US" w:bidi="en-US"/>
              </w:rPr>
            </w:pPr>
            <w:r>
              <w:rPr>
                <w:b/>
                <w:bCs/>
                <w:color w:val="000000"/>
                <w:kern w:val="0"/>
                <w:sz w:val="21"/>
                <w:szCs w:val="21"/>
                <w:lang w:eastAsia="en-US" w:bidi="en-US"/>
              </w:rPr>
              <w:t>设备名称</w:t>
            </w:r>
          </w:p>
        </w:tc>
        <w:tc>
          <w:tcPr>
            <w:tcW w:w="2447" w:type="pct"/>
            <w:tcBorders>
              <w:top w:val="single" w:color="auto" w:sz="4" w:space="0"/>
              <w:left w:val="single" w:color="auto" w:sz="4" w:space="0"/>
            </w:tcBorders>
            <w:shd w:val="clear" w:color="auto" w:fill="FFFFFF"/>
            <w:noWrap w:val="0"/>
            <w:vAlign w:val="center"/>
          </w:tcPr>
          <w:p w14:paraId="0D5956F1">
            <w:pPr>
              <w:jc w:val="center"/>
              <w:rPr>
                <w:rFonts w:hint="default"/>
                <w:color w:val="000000"/>
                <w:kern w:val="0"/>
                <w:sz w:val="21"/>
                <w:szCs w:val="21"/>
                <w:lang w:eastAsia="en-US" w:bidi="en-US"/>
              </w:rPr>
            </w:pPr>
            <w:r>
              <w:rPr>
                <w:b/>
                <w:bCs/>
                <w:color w:val="000000"/>
                <w:kern w:val="0"/>
                <w:sz w:val="21"/>
                <w:szCs w:val="21"/>
                <w:lang w:eastAsia="en-US" w:bidi="en-US"/>
              </w:rPr>
              <w:t>主要指标及技术要求</w:t>
            </w:r>
          </w:p>
        </w:tc>
        <w:tc>
          <w:tcPr>
            <w:tcW w:w="1041" w:type="pct"/>
            <w:tcBorders>
              <w:top w:val="single" w:color="auto" w:sz="4" w:space="0"/>
              <w:left w:val="single" w:color="auto" w:sz="4" w:space="0"/>
              <w:right w:val="single" w:color="auto" w:sz="4" w:space="0"/>
            </w:tcBorders>
            <w:shd w:val="clear" w:color="auto" w:fill="FFFFFF"/>
            <w:noWrap w:val="0"/>
            <w:vAlign w:val="center"/>
          </w:tcPr>
          <w:p w14:paraId="0528A4F1">
            <w:pPr>
              <w:jc w:val="center"/>
              <w:rPr>
                <w:rFonts w:hint="default"/>
                <w:color w:val="000000"/>
                <w:kern w:val="0"/>
                <w:sz w:val="21"/>
                <w:szCs w:val="21"/>
                <w:lang w:eastAsia="en-US" w:bidi="en-US"/>
              </w:rPr>
            </w:pPr>
            <w:r>
              <w:rPr>
                <w:b/>
                <w:bCs/>
                <w:color w:val="000000"/>
                <w:kern w:val="0"/>
                <w:sz w:val="21"/>
                <w:szCs w:val="21"/>
                <w:lang w:eastAsia="en-US" w:bidi="en-US"/>
              </w:rPr>
              <w:t>主要适用范围</w:t>
            </w:r>
          </w:p>
        </w:tc>
      </w:tr>
      <w:tr w14:paraId="7D0F1077">
        <w:tblPrEx>
          <w:tblCellMar>
            <w:top w:w="0" w:type="dxa"/>
            <w:left w:w="10" w:type="dxa"/>
            <w:bottom w:w="0" w:type="dxa"/>
            <w:right w:w="10" w:type="dxa"/>
          </w:tblCellMar>
        </w:tblPrEx>
        <w:trPr>
          <w:trHeight w:val="720" w:hRule="exact"/>
          <w:jc w:val="center"/>
        </w:trPr>
        <w:tc>
          <w:tcPr>
            <w:tcW w:w="239" w:type="pct"/>
            <w:tcBorders>
              <w:top w:val="single" w:color="auto" w:sz="4" w:space="0"/>
              <w:left w:val="single" w:color="auto" w:sz="4" w:space="0"/>
            </w:tcBorders>
            <w:shd w:val="clear" w:color="auto" w:fill="FFFFFF"/>
            <w:noWrap w:val="0"/>
            <w:vAlign w:val="center"/>
          </w:tcPr>
          <w:p w14:paraId="7D6C269D">
            <w:pPr>
              <w:jc w:val="center"/>
              <w:rPr>
                <w:rFonts w:hint="default"/>
                <w:color w:val="000000"/>
                <w:kern w:val="0"/>
                <w:sz w:val="21"/>
                <w:szCs w:val="21"/>
                <w:lang w:eastAsia="en-US" w:bidi="en-US"/>
              </w:rPr>
            </w:pPr>
            <w:r>
              <w:rPr>
                <w:color w:val="000000"/>
                <w:kern w:val="0"/>
                <w:sz w:val="21"/>
                <w:szCs w:val="21"/>
                <w:lang w:eastAsia="en-US" w:bidi="en-US"/>
              </w:rPr>
              <w:t>10</w:t>
            </w:r>
          </w:p>
        </w:tc>
        <w:tc>
          <w:tcPr>
            <w:tcW w:w="556" w:type="pct"/>
            <w:tcBorders>
              <w:top w:val="single" w:color="auto" w:sz="4" w:space="0"/>
              <w:left w:val="single" w:color="auto" w:sz="4" w:space="0"/>
            </w:tcBorders>
            <w:shd w:val="clear" w:color="auto" w:fill="FFFFFF"/>
            <w:noWrap w:val="0"/>
            <w:vAlign w:val="center"/>
          </w:tcPr>
          <w:p w14:paraId="53844A67">
            <w:pPr>
              <w:spacing w:line="300" w:lineRule="exact"/>
              <w:jc w:val="center"/>
              <w:rPr>
                <w:rFonts w:hint="default"/>
                <w:color w:val="000000"/>
                <w:kern w:val="0"/>
                <w:sz w:val="21"/>
                <w:szCs w:val="21"/>
                <w:lang w:eastAsia="en-US" w:bidi="en-US"/>
              </w:rPr>
            </w:pPr>
            <w:r>
              <w:rPr>
                <w:color w:val="000000"/>
                <w:kern w:val="0"/>
                <w:sz w:val="21"/>
                <w:szCs w:val="21"/>
                <w:lang w:eastAsia="en-US" w:bidi="en-US"/>
              </w:rPr>
              <w:t>过滤装置</w:t>
            </w:r>
          </w:p>
        </w:tc>
        <w:tc>
          <w:tcPr>
            <w:tcW w:w="714" w:type="pct"/>
            <w:tcBorders>
              <w:top w:val="single" w:color="auto" w:sz="4" w:space="0"/>
              <w:left w:val="single" w:color="auto" w:sz="4" w:space="0"/>
            </w:tcBorders>
            <w:shd w:val="clear" w:color="auto" w:fill="FFFFFF"/>
            <w:noWrap w:val="0"/>
            <w:vAlign w:val="center"/>
          </w:tcPr>
          <w:p w14:paraId="2BD5123F">
            <w:pPr>
              <w:spacing w:line="300" w:lineRule="exact"/>
              <w:jc w:val="center"/>
              <w:rPr>
                <w:rFonts w:hint="default"/>
                <w:color w:val="000000"/>
                <w:kern w:val="0"/>
                <w:sz w:val="21"/>
                <w:szCs w:val="21"/>
                <w:lang w:eastAsia="en-US" w:bidi="en-US"/>
              </w:rPr>
            </w:pPr>
            <w:r>
              <w:rPr>
                <w:color w:val="000000"/>
                <w:kern w:val="0"/>
                <w:sz w:val="21"/>
                <w:szCs w:val="21"/>
                <w:lang w:eastAsia="en-US" w:bidi="en-US"/>
              </w:rPr>
              <w:t>过滤器</w:t>
            </w:r>
          </w:p>
        </w:tc>
        <w:tc>
          <w:tcPr>
            <w:tcW w:w="2447" w:type="pct"/>
            <w:tcBorders>
              <w:top w:val="single" w:color="auto" w:sz="4" w:space="0"/>
              <w:left w:val="single" w:color="auto" w:sz="4" w:space="0"/>
            </w:tcBorders>
            <w:shd w:val="clear" w:color="auto" w:fill="FFFFFF"/>
            <w:noWrap w:val="0"/>
            <w:vAlign w:val="center"/>
          </w:tcPr>
          <w:p w14:paraId="45BD1075">
            <w:pPr>
              <w:spacing w:line="300" w:lineRule="exact"/>
              <w:rPr>
                <w:rFonts w:hint="default"/>
                <w:color w:val="000000"/>
                <w:kern w:val="0"/>
                <w:sz w:val="21"/>
                <w:szCs w:val="21"/>
                <w:lang w:bidi="en-US"/>
              </w:rPr>
            </w:pPr>
            <w:r>
              <w:rPr>
                <w:color w:val="000000"/>
                <w:kern w:val="0"/>
                <w:sz w:val="21"/>
                <w:szCs w:val="21"/>
                <w:lang w:bidi="en-US"/>
              </w:rPr>
              <w:t>SS去除率＞60%，反冲洗周期＞6h，反冲洗水量＜5%，具有自动运行控制系统。</w:t>
            </w:r>
          </w:p>
        </w:tc>
        <w:tc>
          <w:tcPr>
            <w:tcW w:w="1041" w:type="pct"/>
            <w:tcBorders>
              <w:top w:val="single" w:color="auto" w:sz="4" w:space="0"/>
              <w:left w:val="single" w:color="auto" w:sz="4" w:space="0"/>
              <w:right w:val="single" w:color="auto" w:sz="4" w:space="0"/>
            </w:tcBorders>
            <w:shd w:val="clear" w:color="auto" w:fill="FFFFFF"/>
            <w:noWrap w:val="0"/>
            <w:vAlign w:val="center"/>
          </w:tcPr>
          <w:p w14:paraId="0924E726">
            <w:pPr>
              <w:spacing w:line="300" w:lineRule="exact"/>
              <w:jc w:val="left"/>
              <w:rPr>
                <w:rFonts w:hint="default"/>
                <w:color w:val="000000"/>
                <w:kern w:val="0"/>
                <w:sz w:val="21"/>
                <w:szCs w:val="21"/>
                <w:lang w:bidi="en-US"/>
              </w:rPr>
            </w:pPr>
            <w:r>
              <w:rPr>
                <w:color w:val="000000"/>
                <w:kern w:val="0"/>
                <w:sz w:val="21"/>
                <w:szCs w:val="21"/>
                <w:lang w:bidi="en-US"/>
              </w:rPr>
              <w:t>含悬浮物的污废水深度处理。</w:t>
            </w:r>
          </w:p>
        </w:tc>
      </w:tr>
      <w:tr w14:paraId="755A5C28">
        <w:tblPrEx>
          <w:tblCellMar>
            <w:top w:w="0" w:type="dxa"/>
            <w:left w:w="10" w:type="dxa"/>
            <w:bottom w:w="0" w:type="dxa"/>
            <w:right w:w="10" w:type="dxa"/>
          </w:tblCellMar>
        </w:tblPrEx>
        <w:trPr>
          <w:trHeight w:val="1250" w:hRule="exact"/>
          <w:jc w:val="center"/>
        </w:trPr>
        <w:tc>
          <w:tcPr>
            <w:tcW w:w="239" w:type="pct"/>
            <w:tcBorders>
              <w:top w:val="single" w:color="auto" w:sz="4" w:space="0"/>
              <w:left w:val="single" w:color="auto" w:sz="4" w:space="0"/>
            </w:tcBorders>
            <w:shd w:val="clear" w:color="auto" w:fill="FFFFFF"/>
            <w:noWrap w:val="0"/>
            <w:vAlign w:val="center"/>
          </w:tcPr>
          <w:p w14:paraId="4532E569">
            <w:pPr>
              <w:jc w:val="center"/>
              <w:rPr>
                <w:rFonts w:hint="default"/>
                <w:color w:val="000000"/>
                <w:kern w:val="0"/>
                <w:sz w:val="21"/>
                <w:szCs w:val="21"/>
                <w:lang w:eastAsia="en-US" w:bidi="en-US"/>
              </w:rPr>
            </w:pPr>
            <w:r>
              <w:rPr>
                <w:color w:val="000000"/>
                <w:kern w:val="0"/>
                <w:sz w:val="21"/>
                <w:szCs w:val="21"/>
                <w:lang w:eastAsia="en-US" w:bidi="en-US"/>
              </w:rPr>
              <w:t>11</w:t>
            </w:r>
          </w:p>
        </w:tc>
        <w:tc>
          <w:tcPr>
            <w:tcW w:w="556" w:type="pct"/>
            <w:tcBorders>
              <w:top w:val="single" w:color="auto" w:sz="4" w:space="0"/>
              <w:left w:val="single" w:color="auto" w:sz="4" w:space="0"/>
            </w:tcBorders>
            <w:shd w:val="clear" w:color="auto" w:fill="FFFFFF"/>
            <w:noWrap w:val="0"/>
            <w:vAlign w:val="center"/>
          </w:tcPr>
          <w:p w14:paraId="11430A5E">
            <w:pPr>
              <w:spacing w:line="300" w:lineRule="exact"/>
              <w:jc w:val="center"/>
              <w:rPr>
                <w:rFonts w:hint="default"/>
                <w:color w:val="000000"/>
                <w:kern w:val="0"/>
                <w:sz w:val="21"/>
                <w:szCs w:val="21"/>
                <w:lang w:eastAsia="en-US" w:bidi="en-US"/>
              </w:rPr>
            </w:pPr>
            <w:r>
              <w:rPr>
                <w:color w:val="000000"/>
                <w:kern w:val="0"/>
                <w:sz w:val="21"/>
                <w:szCs w:val="21"/>
                <w:lang w:eastAsia="en-US" w:bidi="en-US"/>
              </w:rPr>
              <w:t>混凝装置</w:t>
            </w:r>
          </w:p>
        </w:tc>
        <w:tc>
          <w:tcPr>
            <w:tcW w:w="714" w:type="pct"/>
            <w:tcBorders>
              <w:top w:val="single" w:color="auto" w:sz="4" w:space="0"/>
              <w:left w:val="single" w:color="auto" w:sz="4" w:space="0"/>
            </w:tcBorders>
            <w:shd w:val="clear" w:color="auto" w:fill="FFFFFF"/>
            <w:noWrap w:val="0"/>
            <w:vAlign w:val="center"/>
          </w:tcPr>
          <w:p w14:paraId="7F638B5D">
            <w:pPr>
              <w:spacing w:line="300" w:lineRule="exact"/>
              <w:jc w:val="center"/>
              <w:rPr>
                <w:rFonts w:hint="default"/>
                <w:color w:val="000000"/>
                <w:kern w:val="0"/>
                <w:sz w:val="21"/>
                <w:szCs w:val="21"/>
                <w:lang w:eastAsia="en-US" w:bidi="en-US"/>
              </w:rPr>
            </w:pPr>
            <w:r>
              <w:rPr>
                <w:color w:val="000000"/>
                <w:kern w:val="0"/>
                <w:sz w:val="21"/>
                <w:szCs w:val="21"/>
                <w:lang w:eastAsia="en-US" w:bidi="en-US"/>
              </w:rPr>
              <w:t>混凝沉淀一体化装置</w:t>
            </w:r>
          </w:p>
        </w:tc>
        <w:tc>
          <w:tcPr>
            <w:tcW w:w="2447" w:type="pct"/>
            <w:tcBorders>
              <w:top w:val="single" w:color="auto" w:sz="4" w:space="0"/>
              <w:left w:val="single" w:color="auto" w:sz="4" w:space="0"/>
            </w:tcBorders>
            <w:shd w:val="clear" w:color="auto" w:fill="FFFFFF"/>
            <w:noWrap w:val="0"/>
            <w:vAlign w:val="center"/>
          </w:tcPr>
          <w:p w14:paraId="346CBC00">
            <w:pPr>
              <w:spacing w:line="300" w:lineRule="exact"/>
              <w:rPr>
                <w:rFonts w:hint="default"/>
                <w:color w:val="000000"/>
                <w:kern w:val="0"/>
                <w:sz w:val="21"/>
                <w:szCs w:val="21"/>
                <w:lang w:bidi="en-US"/>
              </w:rPr>
            </w:pPr>
            <w:r>
              <w:rPr>
                <w:color w:val="000000"/>
                <w:kern w:val="0"/>
                <w:sz w:val="21"/>
                <w:szCs w:val="21"/>
                <w:lang w:bidi="en-US"/>
              </w:rPr>
              <w:t>处理规模＞5m</w:t>
            </w:r>
            <w:r>
              <w:rPr>
                <w:color w:val="000000"/>
                <w:kern w:val="0"/>
                <w:sz w:val="21"/>
                <w:szCs w:val="21"/>
                <w:vertAlign w:val="superscript"/>
                <w:lang w:bidi="en-US"/>
              </w:rPr>
              <w:t>3</w:t>
            </w:r>
            <w:r>
              <w:rPr>
                <w:color w:val="000000"/>
                <w:kern w:val="0"/>
                <w:sz w:val="21"/>
                <w:szCs w:val="21"/>
                <w:lang w:bidi="en-US"/>
              </w:rPr>
              <w:t>/h，SS去除率＞90%，CODcr去除率＞50%，具有自动加药系统。</w:t>
            </w:r>
          </w:p>
        </w:tc>
        <w:tc>
          <w:tcPr>
            <w:tcW w:w="1041" w:type="pct"/>
            <w:tcBorders>
              <w:top w:val="single" w:color="auto" w:sz="4" w:space="0"/>
              <w:left w:val="single" w:color="auto" w:sz="4" w:space="0"/>
              <w:right w:val="single" w:color="auto" w:sz="4" w:space="0"/>
            </w:tcBorders>
            <w:shd w:val="clear" w:color="auto" w:fill="FFFFFF"/>
            <w:noWrap w:val="0"/>
            <w:vAlign w:val="center"/>
          </w:tcPr>
          <w:p w14:paraId="528B7AAA">
            <w:pPr>
              <w:spacing w:line="300" w:lineRule="exact"/>
              <w:jc w:val="left"/>
              <w:rPr>
                <w:rFonts w:hint="default"/>
                <w:color w:val="000000"/>
                <w:kern w:val="0"/>
                <w:sz w:val="21"/>
                <w:szCs w:val="21"/>
                <w:lang w:bidi="en-US"/>
              </w:rPr>
            </w:pPr>
            <w:r>
              <w:rPr>
                <w:color w:val="000000"/>
                <w:kern w:val="0"/>
                <w:sz w:val="21"/>
                <w:szCs w:val="21"/>
                <w:lang w:bidi="en-US"/>
              </w:rPr>
              <w:t>工业废水预处理及生活污水和工业废水的深度处理。</w:t>
            </w:r>
          </w:p>
        </w:tc>
      </w:tr>
      <w:tr w14:paraId="1690279D">
        <w:tblPrEx>
          <w:tblCellMar>
            <w:top w:w="0" w:type="dxa"/>
            <w:left w:w="10" w:type="dxa"/>
            <w:bottom w:w="0" w:type="dxa"/>
            <w:right w:w="10" w:type="dxa"/>
          </w:tblCellMar>
        </w:tblPrEx>
        <w:trPr>
          <w:trHeight w:val="942" w:hRule="exact"/>
          <w:jc w:val="center"/>
        </w:trPr>
        <w:tc>
          <w:tcPr>
            <w:tcW w:w="239" w:type="pct"/>
            <w:tcBorders>
              <w:top w:val="single" w:color="auto" w:sz="4" w:space="0"/>
              <w:left w:val="single" w:color="auto" w:sz="4" w:space="0"/>
            </w:tcBorders>
            <w:shd w:val="clear" w:color="auto" w:fill="FFFFFF"/>
            <w:noWrap w:val="0"/>
            <w:vAlign w:val="center"/>
          </w:tcPr>
          <w:p w14:paraId="6B062AFE">
            <w:pPr>
              <w:jc w:val="center"/>
              <w:rPr>
                <w:rFonts w:hint="default"/>
                <w:color w:val="000000"/>
                <w:kern w:val="0"/>
                <w:sz w:val="21"/>
                <w:szCs w:val="21"/>
                <w:lang w:eastAsia="en-US" w:bidi="en-US"/>
              </w:rPr>
            </w:pPr>
            <w:r>
              <w:rPr>
                <w:color w:val="000000"/>
                <w:kern w:val="0"/>
                <w:sz w:val="21"/>
                <w:szCs w:val="21"/>
                <w:lang w:eastAsia="en-US" w:bidi="en-US"/>
              </w:rPr>
              <w:t>12</w:t>
            </w:r>
          </w:p>
        </w:tc>
        <w:tc>
          <w:tcPr>
            <w:tcW w:w="556" w:type="pct"/>
            <w:tcBorders>
              <w:top w:val="single" w:color="auto" w:sz="4" w:space="0"/>
              <w:left w:val="single" w:color="auto" w:sz="4" w:space="0"/>
            </w:tcBorders>
            <w:shd w:val="clear" w:color="auto" w:fill="FFFFFF"/>
            <w:noWrap w:val="0"/>
            <w:vAlign w:val="center"/>
          </w:tcPr>
          <w:p w14:paraId="590AD109">
            <w:pPr>
              <w:spacing w:line="300" w:lineRule="exact"/>
              <w:jc w:val="center"/>
              <w:rPr>
                <w:rFonts w:hint="default"/>
                <w:color w:val="000000"/>
                <w:kern w:val="0"/>
                <w:sz w:val="21"/>
                <w:szCs w:val="21"/>
                <w:lang w:eastAsia="en-US" w:bidi="en-US"/>
              </w:rPr>
            </w:pPr>
            <w:r>
              <w:rPr>
                <w:color w:val="000000"/>
                <w:kern w:val="0"/>
                <w:sz w:val="21"/>
                <w:szCs w:val="21"/>
                <w:lang w:eastAsia="en-US" w:bidi="en-US"/>
              </w:rPr>
              <w:t>酸碱中和装置</w:t>
            </w:r>
          </w:p>
        </w:tc>
        <w:tc>
          <w:tcPr>
            <w:tcW w:w="714" w:type="pct"/>
            <w:tcBorders>
              <w:top w:val="single" w:color="auto" w:sz="4" w:space="0"/>
              <w:left w:val="single" w:color="auto" w:sz="4" w:space="0"/>
            </w:tcBorders>
            <w:shd w:val="clear" w:color="auto" w:fill="FFFFFF"/>
            <w:noWrap w:val="0"/>
            <w:vAlign w:val="center"/>
          </w:tcPr>
          <w:p w14:paraId="47A4A358">
            <w:pPr>
              <w:spacing w:line="300" w:lineRule="exact"/>
              <w:jc w:val="center"/>
              <w:rPr>
                <w:rFonts w:hint="default"/>
                <w:color w:val="000000"/>
                <w:kern w:val="0"/>
                <w:sz w:val="21"/>
                <w:szCs w:val="21"/>
                <w:lang w:eastAsia="en-US" w:bidi="en-US"/>
              </w:rPr>
            </w:pPr>
            <w:r>
              <w:rPr>
                <w:color w:val="000000"/>
                <w:kern w:val="0"/>
                <w:sz w:val="21"/>
                <w:szCs w:val="21"/>
                <w:lang w:eastAsia="en-US" w:bidi="en-US"/>
              </w:rPr>
              <w:t>酸碱中和一体化装置</w:t>
            </w:r>
          </w:p>
        </w:tc>
        <w:tc>
          <w:tcPr>
            <w:tcW w:w="2447" w:type="pct"/>
            <w:tcBorders>
              <w:top w:val="single" w:color="auto" w:sz="4" w:space="0"/>
              <w:left w:val="single" w:color="auto" w:sz="4" w:space="0"/>
            </w:tcBorders>
            <w:shd w:val="clear" w:color="auto" w:fill="FFFFFF"/>
            <w:noWrap w:val="0"/>
            <w:vAlign w:val="center"/>
          </w:tcPr>
          <w:p w14:paraId="05A6B515">
            <w:pPr>
              <w:spacing w:line="300" w:lineRule="exact"/>
              <w:rPr>
                <w:rFonts w:hint="default"/>
                <w:color w:val="000000"/>
                <w:kern w:val="0"/>
                <w:sz w:val="21"/>
                <w:szCs w:val="21"/>
                <w:lang w:bidi="en-US"/>
              </w:rPr>
            </w:pPr>
            <w:r>
              <w:rPr>
                <w:color w:val="000000"/>
                <w:kern w:val="0"/>
                <w:sz w:val="21"/>
                <w:szCs w:val="21"/>
                <w:lang w:bidi="en-US"/>
              </w:rPr>
              <w:t>处理规模＞5m</w:t>
            </w:r>
            <w:r>
              <w:rPr>
                <w:color w:val="000000"/>
                <w:kern w:val="0"/>
                <w:sz w:val="21"/>
                <w:szCs w:val="21"/>
                <w:vertAlign w:val="superscript"/>
                <w:lang w:bidi="en-US"/>
              </w:rPr>
              <w:t>3</w:t>
            </w:r>
            <w:r>
              <w:rPr>
                <w:color w:val="000000"/>
                <w:kern w:val="0"/>
                <w:sz w:val="21"/>
                <w:szCs w:val="21"/>
                <w:lang w:bidi="en-US"/>
              </w:rPr>
              <w:t>/h，具有自动加药系统、pH控制系统。</w:t>
            </w:r>
          </w:p>
        </w:tc>
        <w:tc>
          <w:tcPr>
            <w:tcW w:w="1041" w:type="pct"/>
            <w:tcBorders>
              <w:top w:val="single" w:color="auto" w:sz="4" w:space="0"/>
              <w:left w:val="single" w:color="auto" w:sz="4" w:space="0"/>
              <w:right w:val="single" w:color="auto" w:sz="4" w:space="0"/>
            </w:tcBorders>
            <w:shd w:val="clear" w:color="auto" w:fill="FFFFFF"/>
            <w:noWrap w:val="0"/>
            <w:vAlign w:val="center"/>
          </w:tcPr>
          <w:p w14:paraId="035BF6CE">
            <w:pPr>
              <w:spacing w:line="300" w:lineRule="exact"/>
              <w:jc w:val="left"/>
              <w:rPr>
                <w:rFonts w:hint="default"/>
                <w:color w:val="000000"/>
                <w:kern w:val="0"/>
                <w:sz w:val="21"/>
                <w:szCs w:val="21"/>
                <w:lang w:bidi="en-US"/>
              </w:rPr>
            </w:pPr>
            <w:r>
              <w:rPr>
                <w:color w:val="000000"/>
                <w:kern w:val="0"/>
                <w:sz w:val="21"/>
                <w:szCs w:val="21"/>
                <w:lang w:bidi="en-US"/>
              </w:rPr>
              <w:t>含酸或含碱工业废水。</w:t>
            </w:r>
          </w:p>
        </w:tc>
      </w:tr>
      <w:tr w14:paraId="1A69F685">
        <w:tblPrEx>
          <w:tblCellMar>
            <w:top w:w="0" w:type="dxa"/>
            <w:left w:w="10" w:type="dxa"/>
            <w:bottom w:w="0" w:type="dxa"/>
            <w:right w:w="10" w:type="dxa"/>
          </w:tblCellMar>
        </w:tblPrEx>
        <w:trPr>
          <w:trHeight w:val="841" w:hRule="exact"/>
          <w:jc w:val="center"/>
        </w:trPr>
        <w:tc>
          <w:tcPr>
            <w:tcW w:w="239" w:type="pct"/>
            <w:tcBorders>
              <w:top w:val="single" w:color="auto" w:sz="4" w:space="0"/>
              <w:left w:val="single" w:color="auto" w:sz="4" w:space="0"/>
            </w:tcBorders>
            <w:shd w:val="clear" w:color="auto" w:fill="FFFFFF"/>
            <w:noWrap w:val="0"/>
            <w:vAlign w:val="center"/>
          </w:tcPr>
          <w:p w14:paraId="309992FA">
            <w:pPr>
              <w:jc w:val="center"/>
              <w:rPr>
                <w:rFonts w:hint="default"/>
                <w:color w:val="000000"/>
                <w:kern w:val="0"/>
                <w:sz w:val="21"/>
                <w:szCs w:val="21"/>
                <w:lang w:eastAsia="en-US" w:bidi="en-US"/>
              </w:rPr>
            </w:pPr>
            <w:r>
              <w:rPr>
                <w:color w:val="000000"/>
                <w:kern w:val="0"/>
                <w:sz w:val="21"/>
                <w:szCs w:val="21"/>
                <w:lang w:eastAsia="en-US" w:bidi="en-US"/>
              </w:rPr>
              <w:t>13</w:t>
            </w:r>
          </w:p>
        </w:tc>
        <w:tc>
          <w:tcPr>
            <w:tcW w:w="556" w:type="pct"/>
            <w:vMerge w:val="restart"/>
            <w:tcBorders>
              <w:top w:val="single" w:color="auto" w:sz="4" w:space="0"/>
              <w:left w:val="single" w:color="auto" w:sz="4" w:space="0"/>
            </w:tcBorders>
            <w:shd w:val="clear" w:color="auto" w:fill="FFFFFF"/>
            <w:noWrap w:val="0"/>
            <w:vAlign w:val="center"/>
          </w:tcPr>
          <w:p w14:paraId="1EFD37C7">
            <w:pPr>
              <w:spacing w:line="300" w:lineRule="exact"/>
              <w:jc w:val="center"/>
              <w:rPr>
                <w:rFonts w:hint="default"/>
                <w:color w:val="000000"/>
                <w:kern w:val="0"/>
                <w:sz w:val="21"/>
                <w:szCs w:val="21"/>
                <w:lang w:eastAsia="en-US" w:bidi="en-US"/>
              </w:rPr>
            </w:pPr>
            <w:r>
              <w:rPr>
                <w:color w:val="000000"/>
                <w:kern w:val="0"/>
                <w:sz w:val="21"/>
                <w:szCs w:val="21"/>
                <w:lang w:eastAsia="en-US" w:bidi="en-US"/>
              </w:rPr>
              <w:t>氧化还原和消毒装置</w:t>
            </w:r>
          </w:p>
        </w:tc>
        <w:tc>
          <w:tcPr>
            <w:tcW w:w="714" w:type="pct"/>
            <w:tcBorders>
              <w:top w:val="single" w:color="auto" w:sz="4" w:space="0"/>
              <w:left w:val="single" w:color="auto" w:sz="4" w:space="0"/>
            </w:tcBorders>
            <w:shd w:val="clear" w:color="auto" w:fill="FFFFFF"/>
            <w:noWrap w:val="0"/>
            <w:vAlign w:val="center"/>
          </w:tcPr>
          <w:p w14:paraId="49BD80E1">
            <w:pPr>
              <w:spacing w:line="300" w:lineRule="exact"/>
              <w:jc w:val="center"/>
              <w:rPr>
                <w:rFonts w:hint="default"/>
                <w:color w:val="000000"/>
                <w:kern w:val="0"/>
                <w:sz w:val="21"/>
                <w:szCs w:val="21"/>
                <w:lang w:eastAsia="en-US" w:bidi="en-US"/>
              </w:rPr>
            </w:pPr>
            <w:r>
              <w:rPr>
                <w:color w:val="000000"/>
                <w:kern w:val="0"/>
                <w:sz w:val="21"/>
                <w:szCs w:val="21"/>
                <w:lang w:eastAsia="en-US" w:bidi="en-US"/>
              </w:rPr>
              <w:t>Fenton催化氧化装置</w:t>
            </w:r>
          </w:p>
        </w:tc>
        <w:tc>
          <w:tcPr>
            <w:tcW w:w="2447" w:type="pct"/>
            <w:tcBorders>
              <w:top w:val="single" w:color="auto" w:sz="4" w:space="0"/>
              <w:left w:val="single" w:color="auto" w:sz="4" w:space="0"/>
            </w:tcBorders>
            <w:shd w:val="clear" w:color="auto" w:fill="FFFFFF"/>
            <w:noWrap w:val="0"/>
            <w:vAlign w:val="center"/>
          </w:tcPr>
          <w:p w14:paraId="2EDF25D4">
            <w:pPr>
              <w:spacing w:line="300" w:lineRule="exact"/>
              <w:rPr>
                <w:rFonts w:hint="default"/>
                <w:color w:val="000000"/>
                <w:kern w:val="0"/>
                <w:sz w:val="21"/>
                <w:szCs w:val="21"/>
                <w:lang w:bidi="en-US"/>
              </w:rPr>
            </w:pPr>
            <w:r>
              <w:rPr>
                <w:color w:val="000000"/>
                <w:kern w:val="0"/>
                <w:sz w:val="21"/>
                <w:szCs w:val="21"/>
                <w:lang w:bidi="en-US"/>
              </w:rPr>
              <w:t>处理规模＞5m</w:t>
            </w:r>
            <w:r>
              <w:rPr>
                <w:color w:val="000000"/>
                <w:kern w:val="0"/>
                <w:sz w:val="21"/>
                <w:szCs w:val="21"/>
                <w:vertAlign w:val="superscript"/>
                <w:lang w:bidi="en-US"/>
              </w:rPr>
              <w:t>3</w:t>
            </w:r>
            <w:r>
              <w:rPr>
                <w:color w:val="000000"/>
                <w:kern w:val="0"/>
                <w:sz w:val="21"/>
                <w:szCs w:val="21"/>
                <w:lang w:bidi="en-US"/>
              </w:rPr>
              <w:t>/h，具有自动加药系统、pH/ORP控制仪表。</w:t>
            </w:r>
          </w:p>
        </w:tc>
        <w:tc>
          <w:tcPr>
            <w:tcW w:w="1041" w:type="pct"/>
            <w:tcBorders>
              <w:top w:val="single" w:color="auto" w:sz="4" w:space="0"/>
              <w:left w:val="single" w:color="auto" w:sz="4" w:space="0"/>
              <w:right w:val="single" w:color="auto" w:sz="4" w:space="0"/>
            </w:tcBorders>
            <w:shd w:val="clear" w:color="auto" w:fill="FFFFFF"/>
            <w:noWrap w:val="0"/>
            <w:vAlign w:val="center"/>
          </w:tcPr>
          <w:p w14:paraId="4A381FD5">
            <w:pPr>
              <w:spacing w:line="300" w:lineRule="exact"/>
              <w:jc w:val="left"/>
              <w:rPr>
                <w:rFonts w:hint="default"/>
                <w:color w:val="000000"/>
                <w:kern w:val="0"/>
                <w:sz w:val="21"/>
                <w:szCs w:val="21"/>
                <w:lang w:bidi="en-US"/>
              </w:rPr>
            </w:pPr>
            <w:r>
              <w:rPr>
                <w:color w:val="000000"/>
                <w:kern w:val="0"/>
                <w:sz w:val="21"/>
                <w:szCs w:val="21"/>
                <w:lang w:bidi="en-US"/>
              </w:rPr>
              <w:t>难降解或大分子有机工业废水。</w:t>
            </w:r>
          </w:p>
        </w:tc>
      </w:tr>
      <w:tr w14:paraId="4AC210B3">
        <w:tblPrEx>
          <w:tblCellMar>
            <w:top w:w="0" w:type="dxa"/>
            <w:left w:w="10" w:type="dxa"/>
            <w:bottom w:w="0" w:type="dxa"/>
            <w:right w:w="10" w:type="dxa"/>
          </w:tblCellMar>
        </w:tblPrEx>
        <w:trPr>
          <w:trHeight w:val="1507" w:hRule="exact"/>
          <w:jc w:val="center"/>
        </w:trPr>
        <w:tc>
          <w:tcPr>
            <w:tcW w:w="239" w:type="pct"/>
            <w:tcBorders>
              <w:top w:val="single" w:color="auto" w:sz="4" w:space="0"/>
              <w:left w:val="single" w:color="auto" w:sz="4" w:space="0"/>
            </w:tcBorders>
            <w:shd w:val="clear" w:color="auto" w:fill="FFFFFF"/>
            <w:noWrap w:val="0"/>
            <w:vAlign w:val="center"/>
          </w:tcPr>
          <w:p w14:paraId="5B3CA609">
            <w:pPr>
              <w:jc w:val="center"/>
              <w:rPr>
                <w:rFonts w:hint="default"/>
                <w:color w:val="000000"/>
                <w:kern w:val="0"/>
                <w:sz w:val="21"/>
                <w:szCs w:val="21"/>
                <w:lang w:eastAsia="en-US" w:bidi="en-US"/>
              </w:rPr>
            </w:pPr>
            <w:r>
              <w:rPr>
                <w:color w:val="000000"/>
                <w:kern w:val="0"/>
                <w:sz w:val="21"/>
                <w:szCs w:val="21"/>
                <w:lang w:eastAsia="en-US" w:bidi="en-US"/>
              </w:rPr>
              <w:t>14</w:t>
            </w:r>
          </w:p>
        </w:tc>
        <w:tc>
          <w:tcPr>
            <w:tcW w:w="556" w:type="pct"/>
            <w:vMerge w:val="continue"/>
            <w:tcBorders>
              <w:left w:val="single" w:color="auto" w:sz="4" w:space="0"/>
            </w:tcBorders>
            <w:shd w:val="clear" w:color="auto" w:fill="FFFFFF"/>
            <w:noWrap w:val="0"/>
            <w:vAlign w:val="center"/>
          </w:tcPr>
          <w:p w14:paraId="519EF884">
            <w:pPr>
              <w:spacing w:line="300" w:lineRule="exact"/>
              <w:jc w:val="center"/>
              <w:rPr>
                <w:rFonts w:hint="default"/>
                <w:color w:val="000000"/>
                <w:kern w:val="0"/>
                <w:sz w:val="21"/>
                <w:szCs w:val="21"/>
                <w:lang w:eastAsia="en-US" w:bidi="en-US"/>
              </w:rPr>
            </w:pPr>
          </w:p>
        </w:tc>
        <w:tc>
          <w:tcPr>
            <w:tcW w:w="714" w:type="pct"/>
            <w:tcBorders>
              <w:top w:val="single" w:color="auto" w:sz="4" w:space="0"/>
              <w:left w:val="single" w:color="auto" w:sz="4" w:space="0"/>
            </w:tcBorders>
            <w:shd w:val="clear" w:color="auto" w:fill="FFFFFF"/>
            <w:noWrap w:val="0"/>
            <w:vAlign w:val="center"/>
          </w:tcPr>
          <w:p w14:paraId="4600858A">
            <w:pPr>
              <w:spacing w:line="300" w:lineRule="exact"/>
              <w:jc w:val="center"/>
              <w:rPr>
                <w:rFonts w:hint="default"/>
                <w:color w:val="000000"/>
                <w:kern w:val="0"/>
                <w:sz w:val="21"/>
                <w:szCs w:val="21"/>
                <w:lang w:eastAsia="en-US" w:bidi="en-US"/>
              </w:rPr>
            </w:pPr>
            <w:r>
              <w:rPr>
                <w:color w:val="000000"/>
                <w:kern w:val="0"/>
                <w:sz w:val="21"/>
                <w:szCs w:val="21"/>
                <w:lang w:eastAsia="en-US" w:bidi="en-US"/>
              </w:rPr>
              <w:t>臭氧发生器</w:t>
            </w:r>
          </w:p>
        </w:tc>
        <w:tc>
          <w:tcPr>
            <w:tcW w:w="2447" w:type="pct"/>
            <w:tcBorders>
              <w:top w:val="single" w:color="auto" w:sz="4" w:space="0"/>
              <w:left w:val="single" w:color="auto" w:sz="4" w:space="0"/>
            </w:tcBorders>
            <w:shd w:val="clear" w:color="auto" w:fill="FFFFFF"/>
            <w:noWrap w:val="0"/>
            <w:vAlign w:val="center"/>
          </w:tcPr>
          <w:p w14:paraId="49C784FD">
            <w:pPr>
              <w:spacing w:line="300" w:lineRule="exact"/>
              <w:rPr>
                <w:rFonts w:hint="default"/>
                <w:color w:val="000000"/>
                <w:kern w:val="0"/>
                <w:sz w:val="21"/>
                <w:szCs w:val="21"/>
                <w:lang w:bidi="en-US"/>
              </w:rPr>
            </w:pPr>
            <w:r>
              <w:rPr>
                <w:color w:val="000000"/>
                <w:kern w:val="0"/>
                <w:sz w:val="21"/>
                <w:szCs w:val="21"/>
                <w:lang w:bidi="en-US"/>
              </w:rPr>
              <w:t>臭氧产量＞1000g/h，露点温度＜-50℃；氧气气源：产生臭氧浓度＞100mg/L，臭氧电耗＜8kW-h/kg；空气气源：产生臭氧浓度＞30mg/L，臭氧电耗＜16（kW-h）/kg。</w:t>
            </w:r>
          </w:p>
        </w:tc>
        <w:tc>
          <w:tcPr>
            <w:tcW w:w="1041" w:type="pct"/>
            <w:tcBorders>
              <w:top w:val="single" w:color="auto" w:sz="4" w:space="0"/>
              <w:left w:val="single" w:color="auto" w:sz="4" w:space="0"/>
              <w:right w:val="single" w:color="auto" w:sz="4" w:space="0"/>
            </w:tcBorders>
            <w:shd w:val="clear" w:color="auto" w:fill="FFFFFF"/>
            <w:noWrap w:val="0"/>
            <w:vAlign w:val="center"/>
          </w:tcPr>
          <w:p w14:paraId="29B3B085">
            <w:pPr>
              <w:spacing w:line="300" w:lineRule="exact"/>
              <w:jc w:val="left"/>
              <w:rPr>
                <w:rFonts w:hint="default"/>
                <w:color w:val="000000"/>
                <w:kern w:val="0"/>
                <w:sz w:val="21"/>
                <w:szCs w:val="21"/>
                <w:lang w:bidi="en-US"/>
              </w:rPr>
            </w:pPr>
            <w:r>
              <w:rPr>
                <w:color w:val="000000"/>
                <w:kern w:val="0"/>
                <w:sz w:val="21"/>
                <w:szCs w:val="21"/>
                <w:lang w:bidi="en-US"/>
              </w:rPr>
              <w:t>污废水出水消毒、脱色和氧化。</w:t>
            </w:r>
          </w:p>
        </w:tc>
      </w:tr>
      <w:tr w14:paraId="60B82DD4">
        <w:tblPrEx>
          <w:tblCellMar>
            <w:top w:w="0" w:type="dxa"/>
            <w:left w:w="10" w:type="dxa"/>
            <w:bottom w:w="0" w:type="dxa"/>
            <w:right w:w="10" w:type="dxa"/>
          </w:tblCellMar>
        </w:tblPrEx>
        <w:trPr>
          <w:trHeight w:val="1404" w:hRule="exact"/>
          <w:jc w:val="center"/>
        </w:trPr>
        <w:tc>
          <w:tcPr>
            <w:tcW w:w="239" w:type="pct"/>
            <w:tcBorders>
              <w:top w:val="single" w:color="auto" w:sz="4" w:space="0"/>
              <w:left w:val="single" w:color="auto" w:sz="4" w:space="0"/>
            </w:tcBorders>
            <w:shd w:val="clear" w:color="auto" w:fill="FFFFFF"/>
            <w:noWrap w:val="0"/>
            <w:vAlign w:val="center"/>
          </w:tcPr>
          <w:p w14:paraId="7EF2870C">
            <w:pPr>
              <w:jc w:val="center"/>
              <w:rPr>
                <w:rFonts w:hint="default"/>
                <w:color w:val="000000"/>
                <w:kern w:val="0"/>
                <w:sz w:val="21"/>
                <w:szCs w:val="21"/>
                <w:lang w:eastAsia="en-US" w:bidi="en-US"/>
              </w:rPr>
            </w:pPr>
            <w:r>
              <w:rPr>
                <w:color w:val="000000"/>
                <w:kern w:val="0"/>
                <w:sz w:val="21"/>
                <w:szCs w:val="21"/>
                <w:lang w:eastAsia="en-US" w:bidi="en-US"/>
              </w:rPr>
              <w:t>15</w:t>
            </w:r>
          </w:p>
        </w:tc>
        <w:tc>
          <w:tcPr>
            <w:tcW w:w="556" w:type="pct"/>
            <w:vMerge w:val="continue"/>
            <w:tcBorders>
              <w:left w:val="single" w:color="auto" w:sz="4" w:space="0"/>
            </w:tcBorders>
            <w:shd w:val="clear" w:color="auto" w:fill="FFFFFF"/>
            <w:noWrap w:val="0"/>
            <w:vAlign w:val="center"/>
          </w:tcPr>
          <w:p w14:paraId="5F612609">
            <w:pPr>
              <w:spacing w:line="300" w:lineRule="exact"/>
              <w:jc w:val="center"/>
              <w:rPr>
                <w:rFonts w:hint="default"/>
                <w:color w:val="000000"/>
                <w:kern w:val="0"/>
                <w:sz w:val="21"/>
                <w:szCs w:val="21"/>
                <w:lang w:eastAsia="en-US" w:bidi="en-US"/>
              </w:rPr>
            </w:pPr>
          </w:p>
        </w:tc>
        <w:tc>
          <w:tcPr>
            <w:tcW w:w="714" w:type="pct"/>
            <w:tcBorders>
              <w:top w:val="single" w:color="auto" w:sz="4" w:space="0"/>
              <w:left w:val="single" w:color="auto" w:sz="4" w:space="0"/>
            </w:tcBorders>
            <w:shd w:val="clear" w:color="auto" w:fill="FFFFFF"/>
            <w:noWrap w:val="0"/>
            <w:vAlign w:val="center"/>
          </w:tcPr>
          <w:p w14:paraId="67A30647">
            <w:pPr>
              <w:spacing w:line="300" w:lineRule="exact"/>
              <w:jc w:val="center"/>
              <w:rPr>
                <w:rFonts w:hint="default"/>
                <w:color w:val="000000"/>
                <w:kern w:val="0"/>
                <w:sz w:val="21"/>
                <w:szCs w:val="21"/>
                <w:lang w:eastAsia="en-US" w:bidi="en-US"/>
              </w:rPr>
            </w:pPr>
            <w:r>
              <w:rPr>
                <w:color w:val="000000"/>
                <w:kern w:val="0"/>
                <w:sz w:val="21"/>
                <w:szCs w:val="21"/>
                <w:lang w:eastAsia="en-US" w:bidi="en-US"/>
              </w:rPr>
              <w:t>紫外消毒装置</w:t>
            </w:r>
          </w:p>
        </w:tc>
        <w:tc>
          <w:tcPr>
            <w:tcW w:w="2447" w:type="pct"/>
            <w:tcBorders>
              <w:top w:val="single" w:color="auto" w:sz="4" w:space="0"/>
              <w:left w:val="single" w:color="auto" w:sz="4" w:space="0"/>
            </w:tcBorders>
            <w:shd w:val="clear" w:color="auto" w:fill="FFFFFF"/>
            <w:noWrap w:val="0"/>
            <w:vAlign w:val="center"/>
          </w:tcPr>
          <w:p w14:paraId="72DDE3FE">
            <w:pPr>
              <w:spacing w:line="300" w:lineRule="exact"/>
              <w:rPr>
                <w:rFonts w:hint="default"/>
                <w:color w:val="000000"/>
                <w:kern w:val="0"/>
                <w:sz w:val="21"/>
                <w:szCs w:val="21"/>
                <w:lang w:bidi="en-US"/>
              </w:rPr>
            </w:pPr>
            <w:r>
              <w:rPr>
                <w:color w:val="000000"/>
                <w:kern w:val="0"/>
                <w:sz w:val="21"/>
                <w:szCs w:val="21"/>
                <w:lang w:bidi="en-US"/>
              </w:rPr>
              <w:t>紫外线投射率T254＞65%；出水粪大肠菌群数不高于《污水综合排放标准》(GB8978-1996)一级B标准要求。</w:t>
            </w:r>
          </w:p>
        </w:tc>
        <w:tc>
          <w:tcPr>
            <w:tcW w:w="1041" w:type="pct"/>
            <w:tcBorders>
              <w:top w:val="single" w:color="auto" w:sz="4" w:space="0"/>
              <w:left w:val="single" w:color="auto" w:sz="4" w:space="0"/>
              <w:right w:val="single" w:color="auto" w:sz="4" w:space="0"/>
            </w:tcBorders>
            <w:shd w:val="clear" w:color="auto" w:fill="FFFFFF"/>
            <w:noWrap w:val="0"/>
            <w:vAlign w:val="center"/>
          </w:tcPr>
          <w:p w14:paraId="4DA650AE">
            <w:pPr>
              <w:spacing w:line="300" w:lineRule="exact"/>
              <w:jc w:val="left"/>
              <w:rPr>
                <w:rFonts w:hint="default"/>
                <w:color w:val="000000"/>
                <w:kern w:val="0"/>
                <w:sz w:val="21"/>
                <w:szCs w:val="21"/>
                <w:lang w:bidi="en-US"/>
              </w:rPr>
            </w:pPr>
            <w:r>
              <w:rPr>
                <w:color w:val="000000"/>
                <w:kern w:val="0"/>
                <w:sz w:val="21"/>
                <w:szCs w:val="21"/>
                <w:lang w:bidi="en-US"/>
              </w:rPr>
              <w:t>生活污水和工业废水深度处理。</w:t>
            </w:r>
          </w:p>
        </w:tc>
      </w:tr>
      <w:tr w14:paraId="03E1A18A">
        <w:tblPrEx>
          <w:tblCellMar>
            <w:top w:w="0" w:type="dxa"/>
            <w:left w:w="10" w:type="dxa"/>
            <w:bottom w:w="0" w:type="dxa"/>
            <w:right w:w="10" w:type="dxa"/>
          </w:tblCellMar>
        </w:tblPrEx>
        <w:trPr>
          <w:trHeight w:val="1029" w:hRule="exact"/>
          <w:jc w:val="center"/>
        </w:trPr>
        <w:tc>
          <w:tcPr>
            <w:tcW w:w="239" w:type="pct"/>
            <w:tcBorders>
              <w:top w:val="single" w:color="auto" w:sz="4" w:space="0"/>
              <w:left w:val="single" w:color="auto" w:sz="4" w:space="0"/>
            </w:tcBorders>
            <w:shd w:val="clear" w:color="auto" w:fill="FFFFFF"/>
            <w:noWrap w:val="0"/>
            <w:vAlign w:val="center"/>
          </w:tcPr>
          <w:p w14:paraId="64DE0487">
            <w:pPr>
              <w:jc w:val="center"/>
              <w:rPr>
                <w:rFonts w:hint="default"/>
                <w:color w:val="000000"/>
                <w:kern w:val="0"/>
                <w:sz w:val="21"/>
                <w:szCs w:val="21"/>
                <w:lang w:eastAsia="en-US" w:bidi="en-US"/>
              </w:rPr>
            </w:pPr>
            <w:r>
              <w:rPr>
                <w:color w:val="000000"/>
                <w:kern w:val="0"/>
                <w:sz w:val="21"/>
                <w:szCs w:val="21"/>
                <w:lang w:eastAsia="en-US" w:bidi="en-US"/>
              </w:rPr>
              <w:t>16</w:t>
            </w:r>
          </w:p>
        </w:tc>
        <w:tc>
          <w:tcPr>
            <w:tcW w:w="556" w:type="pct"/>
            <w:tcBorders>
              <w:top w:val="single" w:color="auto" w:sz="4" w:space="0"/>
              <w:left w:val="single" w:color="auto" w:sz="4" w:space="0"/>
            </w:tcBorders>
            <w:shd w:val="clear" w:color="auto" w:fill="FFFFFF"/>
            <w:noWrap w:val="0"/>
            <w:vAlign w:val="center"/>
          </w:tcPr>
          <w:p w14:paraId="6B43A894">
            <w:pPr>
              <w:spacing w:line="300" w:lineRule="exact"/>
              <w:jc w:val="center"/>
              <w:rPr>
                <w:rFonts w:hint="default"/>
                <w:color w:val="000000"/>
                <w:kern w:val="0"/>
                <w:sz w:val="21"/>
                <w:szCs w:val="21"/>
                <w:lang w:eastAsia="en-US" w:bidi="en-US"/>
              </w:rPr>
            </w:pPr>
            <w:r>
              <w:rPr>
                <w:color w:val="000000"/>
                <w:kern w:val="0"/>
                <w:sz w:val="21"/>
                <w:szCs w:val="21"/>
                <w:lang w:eastAsia="en-US" w:bidi="en-US"/>
              </w:rPr>
              <w:t>吸附装置</w:t>
            </w:r>
          </w:p>
        </w:tc>
        <w:tc>
          <w:tcPr>
            <w:tcW w:w="714" w:type="pct"/>
            <w:tcBorders>
              <w:top w:val="single" w:color="auto" w:sz="4" w:space="0"/>
              <w:left w:val="single" w:color="auto" w:sz="4" w:space="0"/>
            </w:tcBorders>
            <w:shd w:val="clear" w:color="auto" w:fill="FFFFFF"/>
            <w:noWrap w:val="0"/>
            <w:vAlign w:val="center"/>
          </w:tcPr>
          <w:p w14:paraId="22837B9C">
            <w:pPr>
              <w:spacing w:line="300" w:lineRule="exact"/>
              <w:ind w:firstLine="180"/>
              <w:jc w:val="center"/>
              <w:rPr>
                <w:rFonts w:hint="default"/>
                <w:color w:val="000000"/>
                <w:kern w:val="0"/>
                <w:sz w:val="21"/>
                <w:szCs w:val="21"/>
                <w:lang w:eastAsia="en-US" w:bidi="en-US"/>
              </w:rPr>
            </w:pPr>
            <w:r>
              <w:rPr>
                <w:color w:val="000000"/>
                <w:kern w:val="0"/>
                <w:sz w:val="21"/>
                <w:szCs w:val="21"/>
                <w:lang w:eastAsia="en-US" w:bidi="en-US"/>
              </w:rPr>
              <w:t>固定床吸附装置</w:t>
            </w:r>
          </w:p>
        </w:tc>
        <w:tc>
          <w:tcPr>
            <w:tcW w:w="2447" w:type="pct"/>
            <w:tcBorders>
              <w:top w:val="single" w:color="auto" w:sz="4" w:space="0"/>
              <w:left w:val="single" w:color="auto" w:sz="4" w:space="0"/>
            </w:tcBorders>
            <w:shd w:val="clear" w:color="auto" w:fill="FFFFFF"/>
            <w:noWrap w:val="0"/>
            <w:vAlign w:val="center"/>
          </w:tcPr>
          <w:p w14:paraId="2730D1E2">
            <w:pPr>
              <w:spacing w:line="300" w:lineRule="exact"/>
              <w:rPr>
                <w:rFonts w:hint="default"/>
                <w:color w:val="000000"/>
                <w:kern w:val="0"/>
                <w:sz w:val="21"/>
                <w:szCs w:val="21"/>
                <w:lang w:bidi="en-US"/>
              </w:rPr>
            </w:pPr>
            <w:r>
              <w:rPr>
                <w:color w:val="000000"/>
                <w:kern w:val="0"/>
                <w:sz w:val="21"/>
                <w:szCs w:val="21"/>
                <w:lang w:bidi="en-US"/>
              </w:rPr>
              <w:t>出水水质达到相关排放标准要求，具有自动运行控制系统、自动反冲洗系统。</w:t>
            </w:r>
          </w:p>
        </w:tc>
        <w:tc>
          <w:tcPr>
            <w:tcW w:w="1041" w:type="pct"/>
            <w:tcBorders>
              <w:top w:val="single" w:color="auto" w:sz="4" w:space="0"/>
              <w:left w:val="single" w:color="auto" w:sz="4" w:space="0"/>
              <w:right w:val="single" w:color="auto" w:sz="4" w:space="0"/>
            </w:tcBorders>
            <w:shd w:val="clear" w:color="auto" w:fill="FFFFFF"/>
            <w:noWrap w:val="0"/>
            <w:vAlign w:val="center"/>
          </w:tcPr>
          <w:p w14:paraId="17053377">
            <w:pPr>
              <w:spacing w:line="300" w:lineRule="exact"/>
              <w:jc w:val="left"/>
              <w:rPr>
                <w:rFonts w:hint="default"/>
                <w:color w:val="000000"/>
                <w:kern w:val="0"/>
                <w:sz w:val="21"/>
                <w:szCs w:val="21"/>
                <w:lang w:bidi="en-US"/>
              </w:rPr>
            </w:pPr>
            <w:r>
              <w:rPr>
                <w:color w:val="000000"/>
                <w:kern w:val="0"/>
                <w:sz w:val="21"/>
                <w:szCs w:val="21"/>
                <w:lang w:bidi="en-US"/>
              </w:rPr>
              <w:t>生活污水和工业废水深度处理。</w:t>
            </w:r>
          </w:p>
        </w:tc>
      </w:tr>
      <w:tr w14:paraId="759D52B2">
        <w:tblPrEx>
          <w:tblCellMar>
            <w:top w:w="0" w:type="dxa"/>
            <w:left w:w="10" w:type="dxa"/>
            <w:bottom w:w="0" w:type="dxa"/>
            <w:right w:w="10" w:type="dxa"/>
          </w:tblCellMar>
        </w:tblPrEx>
        <w:trPr>
          <w:trHeight w:val="1000" w:hRule="exact"/>
          <w:jc w:val="center"/>
        </w:trPr>
        <w:tc>
          <w:tcPr>
            <w:tcW w:w="239" w:type="pct"/>
            <w:tcBorders>
              <w:top w:val="single" w:color="auto" w:sz="4" w:space="0"/>
              <w:left w:val="single" w:color="auto" w:sz="4" w:space="0"/>
            </w:tcBorders>
            <w:shd w:val="clear" w:color="auto" w:fill="FFFFFF"/>
            <w:noWrap w:val="0"/>
            <w:vAlign w:val="center"/>
          </w:tcPr>
          <w:p w14:paraId="50C89826">
            <w:pPr>
              <w:jc w:val="center"/>
              <w:rPr>
                <w:rFonts w:hint="default"/>
                <w:color w:val="000000"/>
                <w:kern w:val="0"/>
                <w:sz w:val="21"/>
                <w:szCs w:val="21"/>
                <w:lang w:eastAsia="en-US" w:bidi="en-US"/>
              </w:rPr>
            </w:pPr>
            <w:r>
              <w:rPr>
                <w:color w:val="000000"/>
                <w:kern w:val="0"/>
                <w:sz w:val="21"/>
                <w:szCs w:val="21"/>
                <w:lang w:eastAsia="en-US" w:bidi="en-US"/>
              </w:rPr>
              <w:t>17</w:t>
            </w:r>
          </w:p>
        </w:tc>
        <w:tc>
          <w:tcPr>
            <w:tcW w:w="556" w:type="pct"/>
            <w:tcBorders>
              <w:top w:val="single" w:color="auto" w:sz="4" w:space="0"/>
              <w:left w:val="single" w:color="auto" w:sz="4" w:space="0"/>
            </w:tcBorders>
            <w:shd w:val="clear" w:color="auto" w:fill="FFFFFF"/>
            <w:noWrap w:val="0"/>
            <w:vAlign w:val="center"/>
          </w:tcPr>
          <w:p w14:paraId="6C4D9203">
            <w:pPr>
              <w:spacing w:line="300" w:lineRule="exact"/>
              <w:jc w:val="center"/>
              <w:rPr>
                <w:rFonts w:hint="default"/>
                <w:color w:val="000000"/>
                <w:kern w:val="0"/>
                <w:sz w:val="21"/>
                <w:szCs w:val="21"/>
                <w:lang w:eastAsia="en-US" w:bidi="en-US"/>
              </w:rPr>
            </w:pPr>
            <w:r>
              <w:rPr>
                <w:color w:val="000000"/>
                <w:kern w:val="0"/>
                <w:sz w:val="21"/>
                <w:szCs w:val="21"/>
                <w:lang w:eastAsia="en-US" w:bidi="en-US"/>
              </w:rPr>
              <w:t>离子交换装置</w:t>
            </w:r>
          </w:p>
        </w:tc>
        <w:tc>
          <w:tcPr>
            <w:tcW w:w="714" w:type="pct"/>
            <w:tcBorders>
              <w:top w:val="single" w:color="auto" w:sz="4" w:space="0"/>
              <w:left w:val="single" w:color="auto" w:sz="4" w:space="0"/>
            </w:tcBorders>
            <w:shd w:val="clear" w:color="auto" w:fill="FFFFFF"/>
            <w:noWrap w:val="0"/>
            <w:vAlign w:val="center"/>
          </w:tcPr>
          <w:p w14:paraId="250F7B3B">
            <w:pPr>
              <w:spacing w:line="300" w:lineRule="exact"/>
              <w:jc w:val="center"/>
              <w:rPr>
                <w:rFonts w:hint="default"/>
                <w:color w:val="000000"/>
                <w:kern w:val="0"/>
                <w:sz w:val="21"/>
                <w:szCs w:val="21"/>
                <w:lang w:eastAsia="en-US" w:bidi="en-US"/>
              </w:rPr>
            </w:pPr>
            <w:r>
              <w:rPr>
                <w:color w:val="000000"/>
                <w:kern w:val="0"/>
                <w:sz w:val="21"/>
                <w:szCs w:val="21"/>
                <w:lang w:eastAsia="en-US" w:bidi="en-US"/>
              </w:rPr>
              <w:t>固定床离子交换装置</w:t>
            </w:r>
          </w:p>
        </w:tc>
        <w:tc>
          <w:tcPr>
            <w:tcW w:w="2447" w:type="pct"/>
            <w:tcBorders>
              <w:top w:val="single" w:color="auto" w:sz="4" w:space="0"/>
              <w:left w:val="single" w:color="auto" w:sz="4" w:space="0"/>
            </w:tcBorders>
            <w:shd w:val="clear" w:color="auto" w:fill="FFFFFF"/>
            <w:noWrap w:val="0"/>
            <w:vAlign w:val="center"/>
          </w:tcPr>
          <w:p w14:paraId="796A01AD">
            <w:pPr>
              <w:spacing w:line="300" w:lineRule="exact"/>
              <w:rPr>
                <w:rFonts w:hint="default"/>
                <w:color w:val="000000"/>
                <w:kern w:val="0"/>
                <w:sz w:val="21"/>
                <w:szCs w:val="21"/>
                <w:lang w:bidi="en-US"/>
              </w:rPr>
            </w:pPr>
            <w:r>
              <w:rPr>
                <w:color w:val="000000"/>
                <w:kern w:val="0"/>
                <w:sz w:val="21"/>
                <w:szCs w:val="21"/>
                <w:lang w:bidi="en-US"/>
              </w:rPr>
              <w:t>树脂回收利用率＞95%，具有自动运行控制系统、自动再生系统。</w:t>
            </w:r>
          </w:p>
        </w:tc>
        <w:tc>
          <w:tcPr>
            <w:tcW w:w="1041" w:type="pct"/>
            <w:tcBorders>
              <w:top w:val="single" w:color="auto" w:sz="4" w:space="0"/>
              <w:left w:val="single" w:color="auto" w:sz="4" w:space="0"/>
              <w:right w:val="single" w:color="auto" w:sz="4" w:space="0"/>
            </w:tcBorders>
            <w:shd w:val="clear" w:color="auto" w:fill="FFFFFF"/>
            <w:noWrap w:val="0"/>
            <w:vAlign w:val="center"/>
          </w:tcPr>
          <w:p w14:paraId="4AC497F7">
            <w:pPr>
              <w:spacing w:line="300" w:lineRule="exact"/>
              <w:jc w:val="left"/>
              <w:rPr>
                <w:rFonts w:hint="default"/>
                <w:color w:val="000000"/>
                <w:kern w:val="0"/>
                <w:sz w:val="21"/>
                <w:szCs w:val="21"/>
                <w:lang w:bidi="en-US"/>
              </w:rPr>
            </w:pPr>
            <w:r>
              <w:rPr>
                <w:color w:val="000000"/>
                <w:kern w:val="0"/>
                <w:sz w:val="21"/>
                <w:szCs w:val="21"/>
                <w:lang w:bidi="en-US"/>
              </w:rPr>
              <w:t>工业废水回用及重金属废水。</w:t>
            </w:r>
          </w:p>
        </w:tc>
      </w:tr>
      <w:tr w14:paraId="6547D7C5">
        <w:tblPrEx>
          <w:tblCellMar>
            <w:top w:w="0" w:type="dxa"/>
            <w:left w:w="10" w:type="dxa"/>
            <w:bottom w:w="0" w:type="dxa"/>
            <w:right w:w="10" w:type="dxa"/>
          </w:tblCellMar>
        </w:tblPrEx>
        <w:trPr>
          <w:trHeight w:val="962" w:hRule="exact"/>
          <w:jc w:val="center"/>
        </w:trPr>
        <w:tc>
          <w:tcPr>
            <w:tcW w:w="239" w:type="pct"/>
            <w:tcBorders>
              <w:top w:val="single" w:color="auto" w:sz="4" w:space="0"/>
              <w:left w:val="single" w:color="auto" w:sz="4" w:space="0"/>
            </w:tcBorders>
            <w:shd w:val="clear" w:color="auto" w:fill="FFFFFF"/>
            <w:noWrap w:val="0"/>
            <w:vAlign w:val="center"/>
          </w:tcPr>
          <w:p w14:paraId="6587EE92">
            <w:pPr>
              <w:jc w:val="center"/>
              <w:rPr>
                <w:rFonts w:hint="default"/>
                <w:color w:val="000000"/>
                <w:kern w:val="0"/>
                <w:sz w:val="21"/>
                <w:szCs w:val="21"/>
                <w:lang w:eastAsia="en-US" w:bidi="en-US"/>
              </w:rPr>
            </w:pPr>
            <w:r>
              <w:rPr>
                <w:color w:val="000000"/>
                <w:kern w:val="0"/>
                <w:sz w:val="21"/>
                <w:szCs w:val="21"/>
                <w:lang w:eastAsia="en-US" w:bidi="en-US"/>
              </w:rPr>
              <w:t>18</w:t>
            </w:r>
          </w:p>
        </w:tc>
        <w:tc>
          <w:tcPr>
            <w:tcW w:w="556" w:type="pct"/>
            <w:vMerge w:val="restart"/>
            <w:tcBorders>
              <w:top w:val="single" w:color="auto" w:sz="4" w:space="0"/>
              <w:left w:val="single" w:color="auto" w:sz="4" w:space="0"/>
            </w:tcBorders>
            <w:shd w:val="clear" w:color="auto" w:fill="FFFFFF"/>
            <w:noWrap w:val="0"/>
            <w:vAlign w:val="center"/>
          </w:tcPr>
          <w:p w14:paraId="4A32174A">
            <w:pPr>
              <w:spacing w:line="300" w:lineRule="exact"/>
              <w:jc w:val="center"/>
              <w:rPr>
                <w:rFonts w:hint="default"/>
                <w:color w:val="000000"/>
                <w:kern w:val="0"/>
                <w:sz w:val="21"/>
                <w:szCs w:val="21"/>
                <w:lang w:eastAsia="en-US" w:bidi="en-US"/>
              </w:rPr>
            </w:pPr>
            <w:r>
              <w:rPr>
                <w:color w:val="000000"/>
                <w:kern w:val="0"/>
                <w:sz w:val="21"/>
                <w:szCs w:val="21"/>
                <w:lang w:eastAsia="en-US" w:bidi="en-US"/>
              </w:rPr>
              <w:t>膜分离装置</w:t>
            </w:r>
          </w:p>
        </w:tc>
        <w:tc>
          <w:tcPr>
            <w:tcW w:w="714" w:type="pct"/>
            <w:tcBorders>
              <w:top w:val="single" w:color="auto" w:sz="4" w:space="0"/>
              <w:left w:val="single" w:color="auto" w:sz="4" w:space="0"/>
            </w:tcBorders>
            <w:shd w:val="clear" w:color="auto" w:fill="FFFFFF"/>
            <w:noWrap w:val="0"/>
            <w:vAlign w:val="center"/>
          </w:tcPr>
          <w:p w14:paraId="333B21A2">
            <w:pPr>
              <w:spacing w:line="300" w:lineRule="exact"/>
              <w:jc w:val="center"/>
              <w:rPr>
                <w:rFonts w:hint="default"/>
                <w:color w:val="000000"/>
                <w:kern w:val="0"/>
                <w:sz w:val="21"/>
                <w:szCs w:val="21"/>
                <w:lang w:eastAsia="en-US" w:bidi="en-US"/>
              </w:rPr>
            </w:pPr>
            <w:r>
              <w:rPr>
                <w:color w:val="000000"/>
                <w:kern w:val="0"/>
                <w:sz w:val="21"/>
                <w:szCs w:val="21"/>
                <w:lang w:eastAsia="en-US" w:bidi="en-US"/>
              </w:rPr>
              <w:t>微滤(MF)装置</w:t>
            </w:r>
          </w:p>
        </w:tc>
        <w:tc>
          <w:tcPr>
            <w:tcW w:w="2447" w:type="pct"/>
            <w:tcBorders>
              <w:top w:val="single" w:color="auto" w:sz="4" w:space="0"/>
              <w:left w:val="single" w:color="auto" w:sz="4" w:space="0"/>
            </w:tcBorders>
            <w:shd w:val="clear" w:color="auto" w:fill="FFFFFF"/>
            <w:noWrap w:val="0"/>
            <w:vAlign w:val="center"/>
          </w:tcPr>
          <w:p w14:paraId="3F714774">
            <w:pPr>
              <w:spacing w:line="300" w:lineRule="exact"/>
              <w:rPr>
                <w:rFonts w:hint="default"/>
                <w:color w:val="000000"/>
                <w:kern w:val="0"/>
                <w:sz w:val="21"/>
                <w:szCs w:val="21"/>
                <w:lang w:bidi="en-US"/>
              </w:rPr>
            </w:pPr>
            <w:r>
              <w:rPr>
                <w:color w:val="000000"/>
                <w:kern w:val="0"/>
                <w:sz w:val="21"/>
                <w:szCs w:val="21"/>
                <w:lang w:bidi="en-US"/>
              </w:rPr>
              <w:t>产水回收率＞95%，具有自动运行控制系统、自动清洗系统。</w:t>
            </w:r>
          </w:p>
        </w:tc>
        <w:tc>
          <w:tcPr>
            <w:tcW w:w="1041" w:type="pct"/>
            <w:tcBorders>
              <w:top w:val="single" w:color="auto" w:sz="4" w:space="0"/>
              <w:left w:val="single" w:color="auto" w:sz="4" w:space="0"/>
              <w:right w:val="single" w:color="auto" w:sz="4" w:space="0"/>
            </w:tcBorders>
            <w:shd w:val="clear" w:color="auto" w:fill="FFFFFF"/>
            <w:noWrap w:val="0"/>
            <w:vAlign w:val="center"/>
          </w:tcPr>
          <w:p w14:paraId="20FC7FFD">
            <w:pPr>
              <w:spacing w:line="300" w:lineRule="exact"/>
              <w:jc w:val="left"/>
              <w:rPr>
                <w:rFonts w:hint="default"/>
                <w:color w:val="000000"/>
                <w:kern w:val="0"/>
                <w:sz w:val="21"/>
                <w:szCs w:val="21"/>
                <w:lang w:bidi="en-US"/>
              </w:rPr>
            </w:pPr>
            <w:r>
              <w:rPr>
                <w:color w:val="000000"/>
                <w:kern w:val="0"/>
                <w:sz w:val="21"/>
                <w:szCs w:val="21"/>
                <w:lang w:bidi="en-US"/>
              </w:rPr>
              <w:t>生活污水和工业废水回用。</w:t>
            </w:r>
          </w:p>
        </w:tc>
      </w:tr>
      <w:tr w14:paraId="489A83B2">
        <w:tblPrEx>
          <w:tblCellMar>
            <w:top w:w="0" w:type="dxa"/>
            <w:left w:w="10" w:type="dxa"/>
            <w:bottom w:w="0" w:type="dxa"/>
            <w:right w:w="10" w:type="dxa"/>
          </w:tblCellMar>
        </w:tblPrEx>
        <w:trPr>
          <w:trHeight w:val="1020" w:hRule="exact"/>
          <w:jc w:val="center"/>
        </w:trPr>
        <w:tc>
          <w:tcPr>
            <w:tcW w:w="239" w:type="pct"/>
            <w:tcBorders>
              <w:top w:val="single" w:color="auto" w:sz="4" w:space="0"/>
              <w:left w:val="single" w:color="auto" w:sz="4" w:space="0"/>
            </w:tcBorders>
            <w:shd w:val="clear" w:color="auto" w:fill="FFFFFF"/>
            <w:noWrap w:val="0"/>
            <w:vAlign w:val="center"/>
          </w:tcPr>
          <w:p w14:paraId="22604946">
            <w:pPr>
              <w:jc w:val="center"/>
              <w:rPr>
                <w:rFonts w:hint="default"/>
                <w:color w:val="000000"/>
                <w:kern w:val="0"/>
                <w:sz w:val="21"/>
                <w:szCs w:val="21"/>
                <w:lang w:eastAsia="en-US" w:bidi="en-US"/>
              </w:rPr>
            </w:pPr>
            <w:r>
              <w:rPr>
                <w:color w:val="000000"/>
                <w:kern w:val="0"/>
                <w:sz w:val="21"/>
                <w:szCs w:val="21"/>
                <w:lang w:eastAsia="en-US" w:bidi="en-US"/>
              </w:rPr>
              <w:t>19</w:t>
            </w:r>
          </w:p>
        </w:tc>
        <w:tc>
          <w:tcPr>
            <w:tcW w:w="556" w:type="pct"/>
            <w:vMerge w:val="continue"/>
            <w:tcBorders>
              <w:left w:val="single" w:color="auto" w:sz="4" w:space="0"/>
            </w:tcBorders>
            <w:shd w:val="clear" w:color="auto" w:fill="FFFFFF"/>
            <w:noWrap w:val="0"/>
            <w:vAlign w:val="center"/>
          </w:tcPr>
          <w:p w14:paraId="6CBFAFCB">
            <w:pPr>
              <w:spacing w:line="300" w:lineRule="exact"/>
              <w:jc w:val="center"/>
              <w:rPr>
                <w:rFonts w:hint="default"/>
                <w:color w:val="000000"/>
                <w:kern w:val="0"/>
                <w:sz w:val="21"/>
                <w:szCs w:val="21"/>
                <w:lang w:eastAsia="en-US" w:bidi="en-US"/>
              </w:rPr>
            </w:pPr>
          </w:p>
        </w:tc>
        <w:tc>
          <w:tcPr>
            <w:tcW w:w="714" w:type="pct"/>
            <w:tcBorders>
              <w:top w:val="single" w:color="auto" w:sz="4" w:space="0"/>
              <w:left w:val="single" w:color="auto" w:sz="4" w:space="0"/>
            </w:tcBorders>
            <w:shd w:val="clear" w:color="auto" w:fill="FFFFFF"/>
            <w:noWrap w:val="0"/>
            <w:vAlign w:val="center"/>
          </w:tcPr>
          <w:p w14:paraId="52D5DB5A">
            <w:pPr>
              <w:spacing w:line="300" w:lineRule="exact"/>
              <w:ind w:firstLine="180"/>
              <w:jc w:val="center"/>
              <w:rPr>
                <w:rFonts w:hint="default"/>
                <w:color w:val="000000"/>
                <w:kern w:val="0"/>
                <w:sz w:val="21"/>
                <w:szCs w:val="21"/>
                <w:lang w:eastAsia="en-US" w:bidi="en-US"/>
              </w:rPr>
            </w:pPr>
            <w:r>
              <w:rPr>
                <w:color w:val="000000"/>
                <w:kern w:val="0"/>
                <w:sz w:val="21"/>
                <w:szCs w:val="21"/>
                <w:lang w:eastAsia="en-US" w:bidi="en-US"/>
              </w:rPr>
              <w:t>超滤(UF)装置</w:t>
            </w:r>
          </w:p>
        </w:tc>
        <w:tc>
          <w:tcPr>
            <w:tcW w:w="2447" w:type="pct"/>
            <w:tcBorders>
              <w:top w:val="single" w:color="auto" w:sz="4" w:space="0"/>
              <w:left w:val="single" w:color="auto" w:sz="4" w:space="0"/>
            </w:tcBorders>
            <w:shd w:val="clear" w:color="auto" w:fill="FFFFFF"/>
            <w:noWrap w:val="0"/>
            <w:vAlign w:val="center"/>
          </w:tcPr>
          <w:p w14:paraId="612FA676">
            <w:pPr>
              <w:spacing w:line="300" w:lineRule="exact"/>
              <w:rPr>
                <w:rFonts w:hint="default"/>
                <w:color w:val="000000"/>
                <w:kern w:val="0"/>
                <w:sz w:val="21"/>
                <w:szCs w:val="21"/>
                <w:lang w:bidi="en-US"/>
              </w:rPr>
            </w:pPr>
            <w:r>
              <w:rPr>
                <w:color w:val="000000"/>
                <w:kern w:val="0"/>
                <w:sz w:val="21"/>
                <w:szCs w:val="21"/>
                <w:lang w:bidi="en-US"/>
              </w:rPr>
              <w:t>膜通量＞50L/(m</w:t>
            </w:r>
            <w:r>
              <w:rPr>
                <w:color w:val="000000"/>
                <w:kern w:val="0"/>
                <w:sz w:val="21"/>
                <w:szCs w:val="21"/>
                <w:vertAlign w:val="superscript"/>
                <w:lang w:bidi="en-US"/>
              </w:rPr>
              <w:t>2</w:t>
            </w:r>
            <w:r>
              <w:rPr>
                <w:color w:val="000000"/>
                <w:kern w:val="0"/>
                <w:sz w:val="21"/>
                <w:szCs w:val="21"/>
                <w:lang w:eastAsia="en-US" w:bidi="en-US"/>
              </w:rPr>
              <w:t>・</w:t>
            </w:r>
            <w:r>
              <w:rPr>
                <w:color w:val="000000"/>
                <w:kern w:val="0"/>
                <w:sz w:val="21"/>
                <w:szCs w:val="21"/>
                <w:lang w:bidi="en-US"/>
              </w:rPr>
              <w:t>h)，产水回收率＞80%，具有自动运行控制系统、自动清洗系统。</w:t>
            </w:r>
          </w:p>
        </w:tc>
        <w:tc>
          <w:tcPr>
            <w:tcW w:w="1041" w:type="pct"/>
            <w:tcBorders>
              <w:top w:val="single" w:color="auto" w:sz="4" w:space="0"/>
              <w:left w:val="single" w:color="auto" w:sz="4" w:space="0"/>
              <w:right w:val="single" w:color="auto" w:sz="4" w:space="0"/>
            </w:tcBorders>
            <w:shd w:val="clear" w:color="auto" w:fill="FFFFFF"/>
            <w:noWrap w:val="0"/>
            <w:vAlign w:val="center"/>
          </w:tcPr>
          <w:p w14:paraId="032C226B">
            <w:pPr>
              <w:spacing w:line="300" w:lineRule="exact"/>
              <w:jc w:val="left"/>
              <w:rPr>
                <w:rFonts w:hint="default"/>
                <w:color w:val="000000"/>
                <w:kern w:val="0"/>
                <w:sz w:val="21"/>
                <w:szCs w:val="21"/>
                <w:lang w:bidi="en-US"/>
              </w:rPr>
            </w:pPr>
            <w:r>
              <w:rPr>
                <w:color w:val="000000"/>
                <w:kern w:val="0"/>
                <w:sz w:val="21"/>
                <w:szCs w:val="21"/>
                <w:lang w:bidi="en-US"/>
              </w:rPr>
              <w:t>生活污水和工业废水回用。</w:t>
            </w:r>
          </w:p>
        </w:tc>
      </w:tr>
      <w:tr w14:paraId="37144EAA">
        <w:tblPrEx>
          <w:tblCellMar>
            <w:top w:w="0" w:type="dxa"/>
            <w:left w:w="10" w:type="dxa"/>
            <w:bottom w:w="0" w:type="dxa"/>
            <w:right w:w="10" w:type="dxa"/>
          </w:tblCellMar>
        </w:tblPrEx>
        <w:trPr>
          <w:trHeight w:val="1430" w:hRule="exact"/>
          <w:jc w:val="center"/>
        </w:trPr>
        <w:tc>
          <w:tcPr>
            <w:tcW w:w="239" w:type="pct"/>
            <w:tcBorders>
              <w:top w:val="single" w:color="auto" w:sz="4" w:space="0"/>
              <w:left w:val="single" w:color="auto" w:sz="4" w:space="0"/>
              <w:bottom w:val="single" w:color="auto" w:sz="4" w:space="0"/>
            </w:tcBorders>
            <w:shd w:val="clear" w:color="auto" w:fill="FFFFFF"/>
            <w:noWrap w:val="0"/>
            <w:vAlign w:val="center"/>
          </w:tcPr>
          <w:p w14:paraId="5219920E">
            <w:pPr>
              <w:jc w:val="center"/>
              <w:rPr>
                <w:rFonts w:hint="default"/>
                <w:color w:val="000000"/>
                <w:kern w:val="0"/>
                <w:sz w:val="21"/>
                <w:szCs w:val="21"/>
                <w:lang w:eastAsia="en-US" w:bidi="en-US"/>
              </w:rPr>
            </w:pPr>
            <w:r>
              <w:rPr>
                <w:color w:val="000000"/>
                <w:kern w:val="0"/>
                <w:sz w:val="21"/>
                <w:szCs w:val="21"/>
                <w:lang w:eastAsia="en-US" w:bidi="en-US"/>
              </w:rPr>
              <w:t>20</w:t>
            </w:r>
          </w:p>
        </w:tc>
        <w:tc>
          <w:tcPr>
            <w:tcW w:w="556" w:type="pct"/>
            <w:vMerge w:val="continue"/>
            <w:tcBorders>
              <w:left w:val="single" w:color="auto" w:sz="4" w:space="0"/>
              <w:bottom w:val="single" w:color="auto" w:sz="4" w:space="0"/>
            </w:tcBorders>
            <w:shd w:val="clear" w:color="auto" w:fill="FFFFFF"/>
            <w:noWrap w:val="0"/>
            <w:vAlign w:val="center"/>
          </w:tcPr>
          <w:p w14:paraId="6210575C">
            <w:pPr>
              <w:spacing w:line="300" w:lineRule="exact"/>
              <w:jc w:val="center"/>
              <w:rPr>
                <w:rFonts w:hint="default"/>
                <w:color w:val="000000"/>
                <w:kern w:val="0"/>
                <w:sz w:val="21"/>
                <w:szCs w:val="21"/>
                <w:lang w:eastAsia="en-US" w:bidi="en-US"/>
              </w:rPr>
            </w:pPr>
          </w:p>
        </w:tc>
        <w:tc>
          <w:tcPr>
            <w:tcW w:w="714" w:type="pct"/>
            <w:tcBorders>
              <w:top w:val="single" w:color="auto" w:sz="4" w:space="0"/>
              <w:left w:val="single" w:color="auto" w:sz="4" w:space="0"/>
              <w:bottom w:val="single" w:color="auto" w:sz="4" w:space="0"/>
            </w:tcBorders>
            <w:shd w:val="clear" w:color="auto" w:fill="FFFFFF"/>
            <w:noWrap w:val="0"/>
            <w:vAlign w:val="center"/>
          </w:tcPr>
          <w:p w14:paraId="339DCD35">
            <w:pPr>
              <w:spacing w:line="300" w:lineRule="exact"/>
              <w:ind w:firstLine="180"/>
              <w:jc w:val="center"/>
              <w:rPr>
                <w:rFonts w:hint="default"/>
                <w:color w:val="000000"/>
                <w:kern w:val="0"/>
                <w:sz w:val="21"/>
                <w:szCs w:val="21"/>
                <w:lang w:eastAsia="en-US" w:bidi="en-US"/>
              </w:rPr>
            </w:pPr>
            <w:r>
              <w:rPr>
                <w:color w:val="000000"/>
                <w:kern w:val="0"/>
                <w:sz w:val="21"/>
                <w:szCs w:val="21"/>
                <w:lang w:eastAsia="en-US" w:bidi="en-US"/>
              </w:rPr>
              <w:t>纳滤(NF)装置</w:t>
            </w:r>
          </w:p>
        </w:tc>
        <w:tc>
          <w:tcPr>
            <w:tcW w:w="2447" w:type="pct"/>
            <w:tcBorders>
              <w:top w:val="single" w:color="auto" w:sz="4" w:space="0"/>
              <w:left w:val="single" w:color="auto" w:sz="4" w:space="0"/>
              <w:bottom w:val="single" w:color="auto" w:sz="4" w:space="0"/>
            </w:tcBorders>
            <w:shd w:val="clear" w:color="auto" w:fill="FFFFFF"/>
            <w:noWrap w:val="0"/>
            <w:vAlign w:val="center"/>
          </w:tcPr>
          <w:p w14:paraId="10A08AF4">
            <w:pPr>
              <w:spacing w:line="300" w:lineRule="exact"/>
              <w:rPr>
                <w:rFonts w:hint="default"/>
                <w:color w:val="000000"/>
                <w:kern w:val="0"/>
                <w:sz w:val="21"/>
                <w:szCs w:val="21"/>
                <w:lang w:bidi="en-US"/>
              </w:rPr>
            </w:pPr>
            <w:r>
              <w:rPr>
                <w:color w:val="000000"/>
                <w:kern w:val="0"/>
                <w:sz w:val="21"/>
                <w:szCs w:val="21"/>
                <w:lang w:bidi="en-US"/>
              </w:rPr>
              <w:t>一价离子去除率＞30%，膜通量＞30L/(m</w:t>
            </w:r>
            <w:r>
              <w:rPr>
                <w:color w:val="000000"/>
                <w:kern w:val="0"/>
                <w:sz w:val="21"/>
                <w:szCs w:val="21"/>
                <w:vertAlign w:val="superscript"/>
                <w:lang w:bidi="en-US"/>
              </w:rPr>
              <w:t>2</w:t>
            </w:r>
            <w:r>
              <w:rPr>
                <w:color w:val="000000"/>
                <w:kern w:val="0"/>
                <w:sz w:val="21"/>
                <w:szCs w:val="21"/>
                <w:lang w:eastAsia="en-US" w:bidi="en-US"/>
              </w:rPr>
              <w:t>・</w:t>
            </w:r>
            <w:r>
              <w:rPr>
                <w:color w:val="000000"/>
                <w:kern w:val="0"/>
                <w:sz w:val="21"/>
                <w:szCs w:val="21"/>
                <w:lang w:bidi="en-US"/>
              </w:rPr>
              <w:t>h)；二价离子去除率＞90%，膜通量＞21L/(m</w:t>
            </w:r>
            <w:r>
              <w:rPr>
                <w:color w:val="000000"/>
                <w:kern w:val="0"/>
                <w:sz w:val="21"/>
                <w:szCs w:val="21"/>
                <w:vertAlign w:val="superscript"/>
                <w:lang w:bidi="en-US"/>
              </w:rPr>
              <w:t>2</w:t>
            </w:r>
            <w:r>
              <w:rPr>
                <w:color w:val="000000"/>
                <w:kern w:val="0"/>
                <w:sz w:val="21"/>
                <w:szCs w:val="21"/>
                <w:lang w:eastAsia="en-US" w:bidi="en-US"/>
              </w:rPr>
              <w:t>・</w:t>
            </w:r>
            <w:r>
              <w:rPr>
                <w:color w:val="000000"/>
                <w:kern w:val="0"/>
                <w:sz w:val="21"/>
                <w:szCs w:val="21"/>
                <w:lang w:bidi="en-US"/>
              </w:rPr>
              <w:t>h)，具有自动控制系统、自动清洗系统。</w:t>
            </w:r>
          </w:p>
        </w:tc>
        <w:tc>
          <w:tcPr>
            <w:tcW w:w="1041"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7FAE3B9D">
            <w:pPr>
              <w:spacing w:line="300" w:lineRule="exact"/>
              <w:jc w:val="left"/>
              <w:rPr>
                <w:rFonts w:hint="default"/>
                <w:color w:val="000000"/>
                <w:kern w:val="0"/>
                <w:sz w:val="21"/>
                <w:szCs w:val="21"/>
                <w:lang w:bidi="en-US"/>
              </w:rPr>
            </w:pPr>
            <w:r>
              <w:rPr>
                <w:color w:val="000000"/>
                <w:kern w:val="0"/>
                <w:sz w:val="21"/>
                <w:szCs w:val="21"/>
                <w:lang w:bidi="en-US"/>
              </w:rPr>
              <w:t>生活污水和工业废水回用。</w:t>
            </w:r>
          </w:p>
        </w:tc>
      </w:tr>
    </w:tbl>
    <w:p w14:paraId="0C2A3136">
      <w:pPr>
        <w:spacing w:line="1" w:lineRule="exact"/>
        <w:jc w:val="left"/>
        <w:rPr>
          <w:rFonts w:hint="default" w:ascii="等线" w:hAnsi="等线" w:eastAsia="等线" w:cs="等线"/>
          <w:color w:val="000000"/>
          <w:kern w:val="0"/>
          <w:sz w:val="2"/>
          <w:szCs w:val="2"/>
          <w:lang w:bidi="en-US"/>
        </w:rPr>
      </w:pPr>
      <w:r>
        <w:rPr>
          <w:rFonts w:ascii="等线" w:hAnsi="等线" w:eastAsia="等线" w:cs="等线"/>
          <w:color w:val="000000"/>
          <w:kern w:val="0"/>
          <w:sz w:val="24"/>
          <w:lang w:bidi="en-US"/>
        </w:rPr>
        <w:br w:type="page"/>
      </w:r>
    </w:p>
    <w:tbl>
      <w:tblPr>
        <w:tblStyle w:val="3"/>
        <w:tblW w:w="4998" w:type="pct"/>
        <w:jc w:val="center"/>
        <w:tblLayout w:type="autofit"/>
        <w:tblCellMar>
          <w:top w:w="0" w:type="dxa"/>
          <w:left w:w="10" w:type="dxa"/>
          <w:bottom w:w="0" w:type="dxa"/>
          <w:right w:w="10" w:type="dxa"/>
        </w:tblCellMar>
      </w:tblPr>
      <w:tblGrid>
        <w:gridCol w:w="398"/>
        <w:gridCol w:w="926"/>
        <w:gridCol w:w="1189"/>
        <w:gridCol w:w="4075"/>
        <w:gridCol w:w="1734"/>
      </w:tblGrid>
      <w:tr w14:paraId="515374B4">
        <w:tblPrEx>
          <w:tblCellMar>
            <w:top w:w="0" w:type="dxa"/>
            <w:left w:w="10" w:type="dxa"/>
            <w:bottom w:w="0" w:type="dxa"/>
            <w:right w:w="10" w:type="dxa"/>
          </w:tblCellMar>
        </w:tblPrEx>
        <w:trPr>
          <w:trHeight w:val="480" w:hRule="exact"/>
          <w:jc w:val="center"/>
        </w:trPr>
        <w:tc>
          <w:tcPr>
            <w:tcW w:w="239" w:type="pct"/>
            <w:tcBorders>
              <w:top w:val="single" w:color="auto" w:sz="4" w:space="0"/>
              <w:left w:val="single" w:color="auto" w:sz="4" w:space="0"/>
            </w:tcBorders>
            <w:shd w:val="clear" w:color="auto" w:fill="FFFFFF"/>
            <w:noWrap w:val="0"/>
            <w:vAlign w:val="center"/>
          </w:tcPr>
          <w:p w14:paraId="125468AA">
            <w:pPr>
              <w:jc w:val="center"/>
              <w:rPr>
                <w:rFonts w:hint="default" w:ascii="Times New Roman" w:hAnsi="Times New Roman" w:eastAsia="Times New Roman" w:cs="Times New Roman"/>
                <w:color w:val="000000"/>
                <w:kern w:val="0"/>
                <w:sz w:val="20"/>
                <w:szCs w:val="20"/>
                <w:lang w:eastAsia="en-US" w:bidi="en-US"/>
              </w:rPr>
            </w:pPr>
            <w:r>
              <w:rPr>
                <w:rFonts w:ascii="宋体" w:hAnsi="宋体" w:eastAsia="宋体" w:cs="宋体"/>
                <w:b/>
                <w:bCs/>
                <w:color w:val="000000"/>
                <w:kern w:val="0"/>
                <w:sz w:val="20"/>
                <w:szCs w:val="20"/>
                <w:lang w:eastAsia="en-US" w:bidi="en-US"/>
              </w:rPr>
              <w:t>序号</w:t>
            </w:r>
          </w:p>
        </w:tc>
        <w:tc>
          <w:tcPr>
            <w:tcW w:w="556" w:type="pct"/>
            <w:tcBorders>
              <w:top w:val="single" w:color="auto" w:sz="4" w:space="0"/>
              <w:left w:val="single" w:color="auto" w:sz="4" w:space="0"/>
            </w:tcBorders>
            <w:shd w:val="clear" w:color="auto" w:fill="FFFFFF"/>
            <w:noWrap w:val="0"/>
            <w:vAlign w:val="center"/>
          </w:tcPr>
          <w:p w14:paraId="01ECB2FF">
            <w:pPr>
              <w:jc w:val="center"/>
              <w:rPr>
                <w:rFonts w:hint="default" w:ascii="Times New Roman" w:hAnsi="Times New Roman" w:eastAsia="Times New Roman" w:cs="Times New Roman"/>
                <w:color w:val="000000"/>
                <w:kern w:val="0"/>
                <w:sz w:val="20"/>
                <w:szCs w:val="20"/>
                <w:lang w:eastAsia="en-US" w:bidi="en-US"/>
              </w:rPr>
            </w:pPr>
            <w:r>
              <w:rPr>
                <w:rFonts w:ascii="宋体" w:hAnsi="宋体" w:eastAsia="宋体" w:cs="宋体"/>
                <w:b/>
                <w:bCs/>
                <w:color w:val="000000"/>
                <w:kern w:val="0"/>
                <w:sz w:val="20"/>
                <w:szCs w:val="20"/>
                <w:lang w:eastAsia="en-US" w:bidi="en-US"/>
              </w:rPr>
              <w:t>类别</w:t>
            </w:r>
          </w:p>
        </w:tc>
        <w:tc>
          <w:tcPr>
            <w:tcW w:w="714" w:type="pct"/>
            <w:tcBorders>
              <w:top w:val="single" w:color="auto" w:sz="4" w:space="0"/>
              <w:left w:val="single" w:color="auto" w:sz="4" w:space="0"/>
            </w:tcBorders>
            <w:shd w:val="clear" w:color="auto" w:fill="FFFFFF"/>
            <w:noWrap w:val="0"/>
            <w:vAlign w:val="center"/>
          </w:tcPr>
          <w:p w14:paraId="30E66BCD">
            <w:pPr>
              <w:jc w:val="center"/>
              <w:rPr>
                <w:rFonts w:hint="default" w:ascii="Times New Roman" w:hAnsi="Times New Roman" w:eastAsia="Times New Roman" w:cs="Times New Roman"/>
                <w:color w:val="000000"/>
                <w:kern w:val="0"/>
                <w:sz w:val="20"/>
                <w:szCs w:val="20"/>
                <w:lang w:eastAsia="en-US" w:bidi="en-US"/>
              </w:rPr>
            </w:pPr>
            <w:r>
              <w:rPr>
                <w:rFonts w:ascii="宋体" w:hAnsi="宋体" w:eastAsia="宋体" w:cs="宋体"/>
                <w:b/>
                <w:bCs/>
                <w:color w:val="000000"/>
                <w:kern w:val="0"/>
                <w:sz w:val="20"/>
                <w:szCs w:val="20"/>
                <w:lang w:eastAsia="en-US" w:bidi="en-US"/>
              </w:rPr>
              <w:t>设备名称</w:t>
            </w:r>
          </w:p>
        </w:tc>
        <w:tc>
          <w:tcPr>
            <w:tcW w:w="2447" w:type="pct"/>
            <w:tcBorders>
              <w:top w:val="single" w:color="auto" w:sz="4" w:space="0"/>
              <w:left w:val="single" w:color="auto" w:sz="4" w:space="0"/>
            </w:tcBorders>
            <w:shd w:val="clear" w:color="auto" w:fill="FFFFFF"/>
            <w:noWrap w:val="0"/>
            <w:vAlign w:val="center"/>
          </w:tcPr>
          <w:p w14:paraId="37D810D8">
            <w:pPr>
              <w:jc w:val="center"/>
              <w:rPr>
                <w:rFonts w:hint="default" w:ascii="Times New Roman" w:hAnsi="Times New Roman" w:eastAsia="Times New Roman" w:cs="Times New Roman"/>
                <w:color w:val="000000"/>
                <w:kern w:val="0"/>
                <w:sz w:val="20"/>
                <w:szCs w:val="20"/>
                <w:lang w:eastAsia="en-US" w:bidi="en-US"/>
              </w:rPr>
            </w:pPr>
            <w:r>
              <w:rPr>
                <w:rFonts w:ascii="宋体" w:hAnsi="宋体" w:eastAsia="宋体" w:cs="宋体"/>
                <w:b/>
                <w:bCs/>
                <w:color w:val="000000"/>
                <w:kern w:val="0"/>
                <w:sz w:val="20"/>
                <w:szCs w:val="20"/>
                <w:lang w:eastAsia="en-US" w:bidi="en-US"/>
              </w:rPr>
              <w:t>主要指标及技术要求</w:t>
            </w:r>
          </w:p>
        </w:tc>
        <w:tc>
          <w:tcPr>
            <w:tcW w:w="1041" w:type="pct"/>
            <w:tcBorders>
              <w:top w:val="single" w:color="auto" w:sz="4" w:space="0"/>
              <w:left w:val="single" w:color="auto" w:sz="4" w:space="0"/>
              <w:right w:val="single" w:color="auto" w:sz="4" w:space="0"/>
            </w:tcBorders>
            <w:shd w:val="clear" w:color="auto" w:fill="FFFFFF"/>
            <w:noWrap w:val="0"/>
            <w:vAlign w:val="center"/>
          </w:tcPr>
          <w:p w14:paraId="1B7A4F58">
            <w:pPr>
              <w:jc w:val="center"/>
              <w:rPr>
                <w:rFonts w:hint="default" w:ascii="Times New Roman" w:hAnsi="Times New Roman" w:eastAsia="Times New Roman" w:cs="Times New Roman"/>
                <w:color w:val="000000"/>
                <w:kern w:val="0"/>
                <w:sz w:val="20"/>
                <w:szCs w:val="20"/>
                <w:lang w:eastAsia="en-US" w:bidi="en-US"/>
              </w:rPr>
            </w:pPr>
            <w:r>
              <w:rPr>
                <w:rFonts w:ascii="宋体" w:hAnsi="宋体" w:eastAsia="宋体" w:cs="宋体"/>
                <w:b/>
                <w:bCs/>
                <w:color w:val="000000"/>
                <w:kern w:val="0"/>
                <w:sz w:val="20"/>
                <w:szCs w:val="20"/>
                <w:lang w:eastAsia="en-US" w:bidi="en-US"/>
              </w:rPr>
              <w:t>主要适用范围</w:t>
            </w:r>
          </w:p>
        </w:tc>
      </w:tr>
      <w:tr w14:paraId="45EC5717">
        <w:tblPrEx>
          <w:tblCellMar>
            <w:top w:w="0" w:type="dxa"/>
            <w:left w:w="10" w:type="dxa"/>
            <w:bottom w:w="0" w:type="dxa"/>
            <w:right w:w="10" w:type="dxa"/>
          </w:tblCellMar>
        </w:tblPrEx>
        <w:trPr>
          <w:trHeight w:val="1593" w:hRule="exact"/>
          <w:jc w:val="center"/>
        </w:trPr>
        <w:tc>
          <w:tcPr>
            <w:tcW w:w="239" w:type="pct"/>
            <w:tcBorders>
              <w:top w:val="single" w:color="auto" w:sz="4" w:space="0"/>
              <w:left w:val="single" w:color="auto" w:sz="4" w:space="0"/>
            </w:tcBorders>
            <w:shd w:val="clear" w:color="auto" w:fill="FFFFFF"/>
            <w:noWrap w:val="0"/>
            <w:vAlign w:val="center"/>
          </w:tcPr>
          <w:p w14:paraId="56BDE57E">
            <w:pPr>
              <w:jc w:val="center"/>
              <w:rPr>
                <w:rFonts w:hint="default"/>
                <w:color w:val="000000"/>
                <w:kern w:val="0"/>
                <w:sz w:val="20"/>
                <w:szCs w:val="20"/>
                <w:lang w:eastAsia="en-US" w:bidi="en-US"/>
              </w:rPr>
            </w:pPr>
            <w:r>
              <w:rPr>
                <w:color w:val="000000"/>
                <w:kern w:val="0"/>
                <w:sz w:val="20"/>
                <w:szCs w:val="20"/>
                <w:lang w:eastAsia="en-US" w:bidi="en-US"/>
              </w:rPr>
              <w:t>21</w:t>
            </w:r>
          </w:p>
        </w:tc>
        <w:tc>
          <w:tcPr>
            <w:tcW w:w="556" w:type="pct"/>
            <w:tcBorders>
              <w:top w:val="single" w:color="auto" w:sz="4" w:space="0"/>
              <w:left w:val="single" w:color="auto" w:sz="4" w:space="0"/>
            </w:tcBorders>
            <w:shd w:val="clear" w:color="auto" w:fill="FFFFFF"/>
            <w:noWrap w:val="0"/>
            <w:vAlign w:val="center"/>
          </w:tcPr>
          <w:p w14:paraId="6FD14193">
            <w:pPr>
              <w:spacing w:line="300" w:lineRule="exact"/>
              <w:jc w:val="center"/>
              <w:rPr>
                <w:rFonts w:hint="default"/>
                <w:color w:val="000000"/>
                <w:kern w:val="0"/>
                <w:sz w:val="20"/>
                <w:szCs w:val="20"/>
                <w:lang w:eastAsia="en-US" w:bidi="en-US"/>
              </w:rPr>
            </w:pPr>
            <w:r>
              <w:rPr>
                <w:color w:val="000000"/>
                <w:kern w:val="0"/>
                <w:sz w:val="20"/>
                <w:szCs w:val="20"/>
                <w:lang w:eastAsia="en-US" w:bidi="en-US"/>
              </w:rPr>
              <w:t>膜分离装置</w:t>
            </w:r>
          </w:p>
        </w:tc>
        <w:tc>
          <w:tcPr>
            <w:tcW w:w="714" w:type="pct"/>
            <w:tcBorders>
              <w:top w:val="single" w:color="auto" w:sz="4" w:space="0"/>
              <w:left w:val="single" w:color="auto" w:sz="4" w:space="0"/>
            </w:tcBorders>
            <w:shd w:val="clear" w:color="auto" w:fill="FFFFFF"/>
            <w:noWrap w:val="0"/>
            <w:vAlign w:val="center"/>
          </w:tcPr>
          <w:p w14:paraId="5AFF21AE">
            <w:pPr>
              <w:spacing w:line="300" w:lineRule="exact"/>
              <w:jc w:val="center"/>
              <w:rPr>
                <w:rFonts w:hint="default"/>
                <w:color w:val="000000"/>
                <w:kern w:val="0"/>
                <w:sz w:val="20"/>
                <w:szCs w:val="20"/>
                <w:lang w:eastAsia="en-US" w:bidi="en-US"/>
              </w:rPr>
            </w:pPr>
            <w:r>
              <w:rPr>
                <w:color w:val="000000"/>
                <w:kern w:val="0"/>
                <w:sz w:val="20"/>
                <w:szCs w:val="20"/>
                <w:lang w:eastAsia="en-US" w:bidi="en-US"/>
              </w:rPr>
              <w:t>反渗透（RO）装置</w:t>
            </w:r>
          </w:p>
        </w:tc>
        <w:tc>
          <w:tcPr>
            <w:tcW w:w="2447" w:type="pct"/>
            <w:tcBorders>
              <w:top w:val="single" w:color="auto" w:sz="4" w:space="0"/>
              <w:left w:val="single" w:color="auto" w:sz="4" w:space="0"/>
            </w:tcBorders>
            <w:shd w:val="clear" w:color="auto" w:fill="FFFFFF"/>
            <w:noWrap w:val="0"/>
            <w:vAlign w:val="center"/>
          </w:tcPr>
          <w:p w14:paraId="23D9CFDD">
            <w:pPr>
              <w:spacing w:line="300" w:lineRule="exact"/>
              <w:rPr>
                <w:rFonts w:hint="default"/>
                <w:color w:val="000000"/>
                <w:kern w:val="0"/>
                <w:sz w:val="20"/>
                <w:szCs w:val="20"/>
                <w:lang w:bidi="en-US"/>
              </w:rPr>
            </w:pPr>
            <w:r>
              <w:rPr>
                <w:color w:val="000000"/>
                <w:kern w:val="0"/>
                <w:sz w:val="20"/>
                <w:szCs w:val="20"/>
                <w:lang w:bidi="en-US"/>
              </w:rPr>
              <w:t>膜通量＞20L/（m</w:t>
            </w:r>
            <w:r>
              <w:rPr>
                <w:color w:val="000000"/>
                <w:kern w:val="0"/>
                <w:sz w:val="20"/>
                <w:szCs w:val="20"/>
                <w:vertAlign w:val="superscript"/>
                <w:lang w:bidi="en-US"/>
              </w:rPr>
              <w:t>2</w:t>
            </w:r>
            <w:r>
              <w:rPr>
                <w:color w:val="000000"/>
                <w:kern w:val="0"/>
                <w:sz w:val="20"/>
                <w:szCs w:val="20"/>
                <w:lang w:bidi="en-US"/>
              </w:rPr>
              <w:t>-h），脱盐率＞95%；产水量＜4m</w:t>
            </w:r>
            <w:r>
              <w:rPr>
                <w:color w:val="000000"/>
                <w:kern w:val="0"/>
                <w:sz w:val="20"/>
                <w:szCs w:val="20"/>
                <w:vertAlign w:val="superscript"/>
                <w:lang w:bidi="en-US"/>
              </w:rPr>
              <w:t>3</w:t>
            </w:r>
            <w:r>
              <w:rPr>
                <w:color w:val="000000"/>
                <w:kern w:val="0"/>
                <w:sz w:val="20"/>
                <w:szCs w:val="20"/>
                <w:lang w:bidi="en-US"/>
              </w:rPr>
              <w:t>/h的装置水回收率＞30%，产水量介于4～40m</w:t>
            </w:r>
            <w:r>
              <w:rPr>
                <w:color w:val="000000"/>
                <w:kern w:val="0"/>
                <w:sz w:val="20"/>
                <w:szCs w:val="20"/>
                <w:vertAlign w:val="superscript"/>
                <w:lang w:bidi="en-US"/>
              </w:rPr>
              <w:t>3</w:t>
            </w:r>
            <w:r>
              <w:rPr>
                <w:color w:val="000000"/>
                <w:kern w:val="0"/>
                <w:sz w:val="20"/>
                <w:szCs w:val="20"/>
                <w:lang w:bidi="en-US"/>
              </w:rPr>
              <w:t>/h之间的装置水回收率＞50%，产水量＞40m</w:t>
            </w:r>
            <w:r>
              <w:rPr>
                <w:color w:val="000000"/>
                <w:kern w:val="0"/>
                <w:sz w:val="20"/>
                <w:szCs w:val="20"/>
                <w:vertAlign w:val="superscript"/>
                <w:lang w:bidi="en-US"/>
              </w:rPr>
              <w:t>3</w:t>
            </w:r>
            <w:r>
              <w:rPr>
                <w:color w:val="000000"/>
                <w:kern w:val="0"/>
                <w:sz w:val="20"/>
                <w:szCs w:val="20"/>
                <w:lang w:bidi="en-US"/>
              </w:rPr>
              <w:t>/h的装置水回收率＞70%，具有自动控制、自动清洗系统。</w:t>
            </w:r>
          </w:p>
        </w:tc>
        <w:tc>
          <w:tcPr>
            <w:tcW w:w="1041" w:type="pct"/>
            <w:tcBorders>
              <w:top w:val="single" w:color="auto" w:sz="4" w:space="0"/>
              <w:left w:val="single" w:color="auto" w:sz="4" w:space="0"/>
              <w:right w:val="single" w:color="auto" w:sz="4" w:space="0"/>
            </w:tcBorders>
            <w:shd w:val="clear" w:color="auto" w:fill="FFFFFF"/>
            <w:noWrap w:val="0"/>
            <w:vAlign w:val="center"/>
          </w:tcPr>
          <w:p w14:paraId="0194F81A">
            <w:pPr>
              <w:spacing w:line="300" w:lineRule="exact"/>
              <w:rPr>
                <w:rFonts w:hint="default"/>
                <w:color w:val="000000"/>
                <w:kern w:val="0"/>
                <w:sz w:val="20"/>
                <w:szCs w:val="20"/>
                <w:lang w:bidi="en-US"/>
              </w:rPr>
            </w:pPr>
            <w:r>
              <w:rPr>
                <w:color w:val="000000"/>
                <w:kern w:val="0"/>
                <w:sz w:val="20"/>
                <w:szCs w:val="20"/>
                <w:lang w:bidi="en-US"/>
              </w:rPr>
              <w:t>生活污水和工业废水回用。</w:t>
            </w:r>
          </w:p>
        </w:tc>
      </w:tr>
      <w:tr w14:paraId="71CA904D">
        <w:tblPrEx>
          <w:tblCellMar>
            <w:top w:w="0" w:type="dxa"/>
            <w:left w:w="10" w:type="dxa"/>
            <w:bottom w:w="0" w:type="dxa"/>
            <w:right w:w="10" w:type="dxa"/>
          </w:tblCellMar>
        </w:tblPrEx>
        <w:trPr>
          <w:trHeight w:val="686" w:hRule="exact"/>
          <w:jc w:val="center"/>
        </w:trPr>
        <w:tc>
          <w:tcPr>
            <w:tcW w:w="239" w:type="pct"/>
            <w:tcBorders>
              <w:top w:val="single" w:color="auto" w:sz="4" w:space="0"/>
              <w:left w:val="single" w:color="auto" w:sz="4" w:space="0"/>
            </w:tcBorders>
            <w:shd w:val="clear" w:color="auto" w:fill="FFFFFF"/>
            <w:noWrap w:val="0"/>
            <w:vAlign w:val="center"/>
          </w:tcPr>
          <w:p w14:paraId="199CC213">
            <w:pPr>
              <w:jc w:val="center"/>
              <w:rPr>
                <w:rFonts w:hint="default"/>
                <w:color w:val="000000"/>
                <w:kern w:val="0"/>
                <w:sz w:val="20"/>
                <w:szCs w:val="20"/>
                <w:lang w:eastAsia="en-US" w:bidi="en-US"/>
              </w:rPr>
            </w:pPr>
            <w:r>
              <w:rPr>
                <w:color w:val="000000"/>
                <w:kern w:val="0"/>
                <w:sz w:val="20"/>
                <w:szCs w:val="20"/>
                <w:lang w:eastAsia="en-US" w:bidi="en-US"/>
              </w:rPr>
              <w:t>22</w:t>
            </w:r>
          </w:p>
        </w:tc>
        <w:tc>
          <w:tcPr>
            <w:tcW w:w="556" w:type="pct"/>
            <w:tcBorders>
              <w:top w:val="single" w:color="auto" w:sz="4" w:space="0"/>
              <w:left w:val="single" w:color="auto" w:sz="4" w:space="0"/>
            </w:tcBorders>
            <w:shd w:val="clear" w:color="auto" w:fill="FFFFFF"/>
            <w:noWrap w:val="0"/>
            <w:vAlign w:val="center"/>
          </w:tcPr>
          <w:p w14:paraId="0682190D">
            <w:pPr>
              <w:spacing w:line="300" w:lineRule="exact"/>
              <w:jc w:val="center"/>
              <w:rPr>
                <w:rFonts w:hint="default"/>
                <w:color w:val="000000"/>
                <w:kern w:val="0"/>
                <w:sz w:val="20"/>
                <w:szCs w:val="20"/>
                <w:lang w:eastAsia="en-US" w:bidi="en-US"/>
              </w:rPr>
            </w:pPr>
            <w:r>
              <w:rPr>
                <w:color w:val="000000"/>
                <w:kern w:val="0"/>
                <w:sz w:val="20"/>
                <w:szCs w:val="20"/>
                <w:lang w:eastAsia="en-US" w:bidi="en-US"/>
              </w:rPr>
              <w:t>污泥处理装置</w:t>
            </w:r>
          </w:p>
        </w:tc>
        <w:tc>
          <w:tcPr>
            <w:tcW w:w="714" w:type="pct"/>
            <w:tcBorders>
              <w:top w:val="single" w:color="auto" w:sz="4" w:space="0"/>
              <w:left w:val="single" w:color="auto" w:sz="4" w:space="0"/>
            </w:tcBorders>
            <w:shd w:val="clear" w:color="auto" w:fill="FFFFFF"/>
            <w:noWrap w:val="0"/>
            <w:vAlign w:val="center"/>
          </w:tcPr>
          <w:p w14:paraId="6FEEA5BC">
            <w:pPr>
              <w:spacing w:line="300" w:lineRule="exact"/>
              <w:jc w:val="center"/>
              <w:rPr>
                <w:rFonts w:hint="default"/>
                <w:color w:val="000000"/>
                <w:kern w:val="0"/>
                <w:sz w:val="20"/>
                <w:szCs w:val="20"/>
                <w:lang w:eastAsia="en-US" w:bidi="en-US"/>
              </w:rPr>
            </w:pPr>
            <w:r>
              <w:rPr>
                <w:color w:val="000000"/>
                <w:kern w:val="0"/>
                <w:sz w:val="20"/>
                <w:szCs w:val="20"/>
                <w:lang w:eastAsia="en-US" w:bidi="en-US"/>
              </w:rPr>
              <w:t>污泥脱水机</w:t>
            </w:r>
          </w:p>
        </w:tc>
        <w:tc>
          <w:tcPr>
            <w:tcW w:w="2447" w:type="pct"/>
            <w:tcBorders>
              <w:top w:val="single" w:color="auto" w:sz="4" w:space="0"/>
              <w:left w:val="single" w:color="auto" w:sz="4" w:space="0"/>
            </w:tcBorders>
            <w:shd w:val="clear" w:color="auto" w:fill="FFFFFF"/>
            <w:noWrap w:val="0"/>
            <w:vAlign w:val="center"/>
          </w:tcPr>
          <w:p w14:paraId="7D93771E">
            <w:pPr>
              <w:spacing w:line="300" w:lineRule="exact"/>
              <w:rPr>
                <w:rFonts w:hint="default"/>
                <w:color w:val="000000"/>
                <w:kern w:val="0"/>
                <w:sz w:val="20"/>
                <w:szCs w:val="20"/>
                <w:lang w:bidi="en-US"/>
              </w:rPr>
            </w:pPr>
            <w:r>
              <w:rPr>
                <w:color w:val="000000"/>
                <w:kern w:val="0"/>
                <w:sz w:val="20"/>
                <w:szCs w:val="20"/>
                <w:lang w:bidi="en-US"/>
              </w:rPr>
              <w:t>滤饼含水率＜80%，无故障运行时间＞3000h。</w:t>
            </w:r>
          </w:p>
        </w:tc>
        <w:tc>
          <w:tcPr>
            <w:tcW w:w="1041" w:type="pct"/>
            <w:tcBorders>
              <w:top w:val="single" w:color="auto" w:sz="4" w:space="0"/>
              <w:left w:val="single" w:color="auto" w:sz="4" w:space="0"/>
              <w:right w:val="single" w:color="auto" w:sz="4" w:space="0"/>
            </w:tcBorders>
            <w:shd w:val="clear" w:color="auto" w:fill="FFFFFF"/>
            <w:noWrap w:val="0"/>
            <w:vAlign w:val="center"/>
          </w:tcPr>
          <w:p w14:paraId="19297F68">
            <w:pPr>
              <w:spacing w:line="300" w:lineRule="exact"/>
              <w:rPr>
                <w:rFonts w:hint="default"/>
                <w:color w:val="000000"/>
                <w:kern w:val="0"/>
                <w:sz w:val="20"/>
                <w:szCs w:val="20"/>
                <w:lang w:bidi="en-US"/>
              </w:rPr>
            </w:pPr>
            <w:r>
              <w:rPr>
                <w:color w:val="000000"/>
                <w:kern w:val="0"/>
                <w:sz w:val="20"/>
                <w:szCs w:val="20"/>
                <w:lang w:bidi="en-US"/>
              </w:rPr>
              <w:t>生活污水和工业废水污泥处理。</w:t>
            </w:r>
          </w:p>
        </w:tc>
      </w:tr>
      <w:tr w14:paraId="21751D0E">
        <w:tblPrEx>
          <w:tblCellMar>
            <w:top w:w="0" w:type="dxa"/>
            <w:left w:w="10" w:type="dxa"/>
            <w:bottom w:w="0" w:type="dxa"/>
            <w:right w:w="10" w:type="dxa"/>
          </w:tblCellMar>
        </w:tblPrEx>
        <w:trPr>
          <w:trHeight w:val="1694" w:hRule="exact"/>
          <w:jc w:val="center"/>
        </w:trPr>
        <w:tc>
          <w:tcPr>
            <w:tcW w:w="239" w:type="pct"/>
            <w:tcBorders>
              <w:top w:val="single" w:color="auto" w:sz="4" w:space="0"/>
              <w:left w:val="single" w:color="auto" w:sz="4" w:space="0"/>
            </w:tcBorders>
            <w:shd w:val="clear" w:color="auto" w:fill="FFFFFF"/>
            <w:noWrap w:val="0"/>
            <w:vAlign w:val="center"/>
          </w:tcPr>
          <w:p w14:paraId="29E44C54">
            <w:pPr>
              <w:jc w:val="center"/>
              <w:rPr>
                <w:rFonts w:hint="default"/>
                <w:color w:val="000000"/>
                <w:kern w:val="0"/>
                <w:sz w:val="20"/>
                <w:szCs w:val="20"/>
                <w:lang w:eastAsia="en-US" w:bidi="en-US"/>
              </w:rPr>
            </w:pPr>
            <w:r>
              <w:rPr>
                <w:color w:val="000000"/>
                <w:kern w:val="0"/>
                <w:sz w:val="20"/>
                <w:szCs w:val="20"/>
                <w:lang w:eastAsia="en-US" w:bidi="en-US"/>
              </w:rPr>
              <w:t>23</w:t>
            </w:r>
          </w:p>
        </w:tc>
        <w:tc>
          <w:tcPr>
            <w:tcW w:w="556" w:type="pct"/>
            <w:vMerge w:val="restart"/>
            <w:tcBorders>
              <w:top w:val="single" w:color="auto" w:sz="4" w:space="0"/>
              <w:left w:val="single" w:color="auto" w:sz="4" w:space="0"/>
            </w:tcBorders>
            <w:shd w:val="clear" w:color="auto" w:fill="FFFFFF"/>
            <w:noWrap w:val="0"/>
            <w:vAlign w:val="center"/>
          </w:tcPr>
          <w:p w14:paraId="6D1E4BDE">
            <w:pPr>
              <w:spacing w:line="300" w:lineRule="exact"/>
              <w:jc w:val="center"/>
              <w:rPr>
                <w:rFonts w:hint="default"/>
                <w:color w:val="000000"/>
                <w:kern w:val="0"/>
                <w:sz w:val="20"/>
                <w:szCs w:val="20"/>
                <w:lang w:eastAsia="en-US" w:bidi="en-US"/>
              </w:rPr>
            </w:pPr>
            <w:r>
              <w:rPr>
                <w:color w:val="000000"/>
                <w:kern w:val="0"/>
                <w:sz w:val="20"/>
                <w:szCs w:val="20"/>
                <w:lang w:eastAsia="en-US" w:bidi="en-US"/>
              </w:rPr>
              <w:t>好氧成套处理装置</w:t>
            </w:r>
          </w:p>
        </w:tc>
        <w:tc>
          <w:tcPr>
            <w:tcW w:w="714" w:type="pct"/>
            <w:tcBorders>
              <w:top w:val="single" w:color="auto" w:sz="4" w:space="0"/>
              <w:left w:val="single" w:color="auto" w:sz="4" w:space="0"/>
            </w:tcBorders>
            <w:shd w:val="clear" w:color="auto" w:fill="FFFFFF"/>
            <w:noWrap w:val="0"/>
            <w:vAlign w:val="center"/>
          </w:tcPr>
          <w:p w14:paraId="319B9707">
            <w:pPr>
              <w:spacing w:line="300" w:lineRule="exact"/>
              <w:jc w:val="center"/>
              <w:rPr>
                <w:rFonts w:hint="default"/>
                <w:color w:val="000000"/>
                <w:kern w:val="0"/>
                <w:sz w:val="20"/>
                <w:szCs w:val="20"/>
                <w:lang w:eastAsia="en-US" w:bidi="en-US"/>
              </w:rPr>
            </w:pPr>
            <w:r>
              <w:rPr>
                <w:color w:val="000000"/>
                <w:kern w:val="0"/>
                <w:sz w:val="20"/>
                <w:szCs w:val="20"/>
                <w:lang w:eastAsia="en-US" w:bidi="en-US"/>
              </w:rPr>
              <w:t>膜生物反应器</w:t>
            </w:r>
          </w:p>
        </w:tc>
        <w:tc>
          <w:tcPr>
            <w:tcW w:w="2447" w:type="pct"/>
            <w:tcBorders>
              <w:top w:val="single" w:color="auto" w:sz="4" w:space="0"/>
              <w:left w:val="single" w:color="auto" w:sz="4" w:space="0"/>
            </w:tcBorders>
            <w:shd w:val="clear" w:color="auto" w:fill="FFFFFF"/>
            <w:noWrap w:val="0"/>
            <w:vAlign w:val="center"/>
          </w:tcPr>
          <w:p w14:paraId="3C039C86">
            <w:pPr>
              <w:spacing w:line="300" w:lineRule="exact"/>
              <w:rPr>
                <w:rFonts w:hint="default"/>
                <w:color w:val="000000"/>
                <w:kern w:val="0"/>
                <w:sz w:val="20"/>
                <w:szCs w:val="20"/>
                <w:lang w:bidi="en-US"/>
              </w:rPr>
            </w:pPr>
            <w:r>
              <w:rPr>
                <w:color w:val="000000"/>
                <w:kern w:val="0"/>
                <w:sz w:val="20"/>
                <w:szCs w:val="20"/>
                <w:lang w:bidi="en-US"/>
              </w:rPr>
              <w:t>膜孔径为0.01～0.4呻，浸没式膜生物反应器：膜通量＞10L/（m</w:t>
            </w:r>
            <w:r>
              <w:rPr>
                <w:color w:val="000000"/>
                <w:kern w:val="0"/>
                <w:sz w:val="20"/>
                <w:szCs w:val="20"/>
                <w:vertAlign w:val="superscript"/>
                <w:lang w:bidi="en-US"/>
              </w:rPr>
              <w:t>2</w:t>
            </w:r>
            <w:r>
              <w:rPr>
                <w:color w:val="000000"/>
                <w:kern w:val="0"/>
                <w:sz w:val="20"/>
                <w:szCs w:val="20"/>
                <w:lang w:eastAsia="en-US" w:bidi="en-US"/>
              </w:rPr>
              <w:t>・</w:t>
            </w:r>
            <w:r>
              <w:rPr>
                <w:color w:val="000000"/>
                <w:kern w:val="0"/>
                <w:sz w:val="20"/>
                <w:szCs w:val="20"/>
                <w:lang w:bidi="en-US"/>
              </w:rPr>
              <w:t>h）；外置式膜生物反应器：膜通量＞40L/（m</w:t>
            </w:r>
            <w:r>
              <w:rPr>
                <w:color w:val="000000"/>
                <w:kern w:val="0"/>
                <w:sz w:val="20"/>
                <w:szCs w:val="20"/>
                <w:vertAlign w:val="superscript"/>
                <w:lang w:bidi="en-US"/>
              </w:rPr>
              <w:t>2</w:t>
            </w:r>
            <w:r>
              <w:rPr>
                <w:color w:val="000000"/>
                <w:kern w:val="0"/>
                <w:sz w:val="20"/>
                <w:szCs w:val="20"/>
                <w:lang w:eastAsia="en-US" w:bidi="en-US"/>
              </w:rPr>
              <w:t>・</w:t>
            </w:r>
            <w:r>
              <w:rPr>
                <w:color w:val="000000"/>
                <w:kern w:val="0"/>
                <w:sz w:val="20"/>
                <w:szCs w:val="20"/>
                <w:lang w:bidi="en-US"/>
              </w:rPr>
              <w:t>h）；COD去除率＞90%，BOD</w:t>
            </w:r>
            <w:r>
              <w:rPr>
                <w:color w:val="000000"/>
                <w:kern w:val="0"/>
                <w:sz w:val="14"/>
                <w:szCs w:val="14"/>
                <w:lang w:bidi="en-US"/>
              </w:rPr>
              <w:t>5</w:t>
            </w:r>
            <w:r>
              <w:rPr>
                <w:color w:val="000000"/>
                <w:kern w:val="0"/>
                <w:sz w:val="20"/>
                <w:szCs w:val="20"/>
                <w:lang w:bidi="en-US"/>
              </w:rPr>
              <w:t>去除率＞93%，SS去除率＞95%，氨氮去除率＞90%。</w:t>
            </w:r>
          </w:p>
        </w:tc>
        <w:tc>
          <w:tcPr>
            <w:tcW w:w="1041" w:type="pct"/>
            <w:tcBorders>
              <w:top w:val="single" w:color="auto" w:sz="4" w:space="0"/>
              <w:left w:val="single" w:color="auto" w:sz="4" w:space="0"/>
              <w:right w:val="single" w:color="auto" w:sz="4" w:space="0"/>
            </w:tcBorders>
            <w:shd w:val="clear" w:color="auto" w:fill="FFFFFF"/>
            <w:noWrap w:val="0"/>
            <w:vAlign w:val="center"/>
          </w:tcPr>
          <w:p w14:paraId="648C31F1">
            <w:pPr>
              <w:spacing w:line="300" w:lineRule="exact"/>
              <w:rPr>
                <w:rFonts w:hint="default"/>
                <w:color w:val="000000"/>
                <w:kern w:val="0"/>
                <w:sz w:val="20"/>
                <w:szCs w:val="20"/>
                <w:lang w:bidi="en-US"/>
              </w:rPr>
            </w:pPr>
            <w:r>
              <w:rPr>
                <w:color w:val="000000"/>
                <w:kern w:val="0"/>
                <w:sz w:val="20"/>
                <w:szCs w:val="20"/>
                <w:lang w:bidi="en-US"/>
              </w:rPr>
              <w:t>生活污水和工业废水二级处理。</w:t>
            </w:r>
          </w:p>
        </w:tc>
      </w:tr>
      <w:tr w14:paraId="70EDB19C">
        <w:tblPrEx>
          <w:tblCellMar>
            <w:top w:w="0" w:type="dxa"/>
            <w:left w:w="10" w:type="dxa"/>
            <w:bottom w:w="0" w:type="dxa"/>
            <w:right w:w="10" w:type="dxa"/>
          </w:tblCellMar>
        </w:tblPrEx>
        <w:trPr>
          <w:trHeight w:val="1930" w:hRule="exact"/>
          <w:jc w:val="center"/>
        </w:trPr>
        <w:tc>
          <w:tcPr>
            <w:tcW w:w="239" w:type="pct"/>
            <w:tcBorders>
              <w:top w:val="single" w:color="auto" w:sz="4" w:space="0"/>
              <w:left w:val="single" w:color="auto" w:sz="4" w:space="0"/>
            </w:tcBorders>
            <w:shd w:val="clear" w:color="auto" w:fill="FFFFFF"/>
            <w:noWrap w:val="0"/>
            <w:vAlign w:val="center"/>
          </w:tcPr>
          <w:p w14:paraId="478B12F5">
            <w:pPr>
              <w:jc w:val="center"/>
              <w:rPr>
                <w:rFonts w:hint="default"/>
                <w:color w:val="000000"/>
                <w:kern w:val="0"/>
                <w:sz w:val="20"/>
                <w:szCs w:val="20"/>
                <w:lang w:eastAsia="en-US" w:bidi="en-US"/>
              </w:rPr>
            </w:pPr>
            <w:r>
              <w:rPr>
                <w:color w:val="000000"/>
                <w:kern w:val="0"/>
                <w:sz w:val="20"/>
                <w:szCs w:val="20"/>
                <w:lang w:eastAsia="en-US" w:bidi="en-US"/>
              </w:rPr>
              <w:t>24</w:t>
            </w:r>
          </w:p>
        </w:tc>
        <w:tc>
          <w:tcPr>
            <w:tcW w:w="556" w:type="pct"/>
            <w:vMerge w:val="continue"/>
            <w:tcBorders>
              <w:left w:val="single" w:color="auto" w:sz="4" w:space="0"/>
            </w:tcBorders>
            <w:shd w:val="clear" w:color="auto" w:fill="FFFFFF"/>
            <w:noWrap w:val="0"/>
            <w:vAlign w:val="center"/>
          </w:tcPr>
          <w:p w14:paraId="2851B3D4">
            <w:pPr>
              <w:spacing w:line="300" w:lineRule="exact"/>
              <w:jc w:val="center"/>
              <w:rPr>
                <w:rFonts w:hint="default"/>
                <w:color w:val="000000"/>
                <w:kern w:val="0"/>
                <w:sz w:val="24"/>
                <w:lang w:eastAsia="en-US" w:bidi="en-US"/>
              </w:rPr>
            </w:pPr>
          </w:p>
        </w:tc>
        <w:tc>
          <w:tcPr>
            <w:tcW w:w="714" w:type="pct"/>
            <w:tcBorders>
              <w:top w:val="single" w:color="auto" w:sz="4" w:space="0"/>
              <w:left w:val="single" w:color="auto" w:sz="4" w:space="0"/>
            </w:tcBorders>
            <w:shd w:val="clear" w:color="auto" w:fill="FFFFFF"/>
            <w:noWrap w:val="0"/>
            <w:vAlign w:val="center"/>
          </w:tcPr>
          <w:p w14:paraId="53944EA1">
            <w:pPr>
              <w:spacing w:line="300" w:lineRule="exact"/>
              <w:jc w:val="left"/>
              <w:rPr>
                <w:rFonts w:hint="default"/>
                <w:color w:val="000000"/>
                <w:kern w:val="0"/>
                <w:sz w:val="20"/>
                <w:szCs w:val="20"/>
                <w:lang w:eastAsia="en-US" w:bidi="en-US"/>
              </w:rPr>
            </w:pPr>
            <w:r>
              <w:rPr>
                <w:color w:val="000000"/>
                <w:kern w:val="0"/>
                <w:sz w:val="20"/>
                <w:szCs w:val="20"/>
                <w:lang w:eastAsia="en-US" w:bidi="en-US"/>
              </w:rPr>
              <w:t>生物接触氧化装置</w:t>
            </w:r>
          </w:p>
        </w:tc>
        <w:tc>
          <w:tcPr>
            <w:tcW w:w="2447" w:type="pct"/>
            <w:tcBorders>
              <w:top w:val="single" w:color="auto" w:sz="4" w:space="0"/>
              <w:left w:val="single" w:color="auto" w:sz="4" w:space="0"/>
            </w:tcBorders>
            <w:shd w:val="clear" w:color="auto" w:fill="FFFFFF"/>
            <w:noWrap w:val="0"/>
            <w:vAlign w:val="bottom"/>
          </w:tcPr>
          <w:p w14:paraId="311B2EDC">
            <w:pPr>
              <w:spacing w:line="300" w:lineRule="exact"/>
              <w:rPr>
                <w:rFonts w:hint="default"/>
                <w:color w:val="000000"/>
                <w:kern w:val="0"/>
                <w:sz w:val="20"/>
                <w:szCs w:val="20"/>
                <w:lang w:bidi="en-US"/>
              </w:rPr>
            </w:pPr>
            <w:r>
              <w:rPr>
                <w:color w:val="000000"/>
                <w:kern w:val="0"/>
                <w:sz w:val="20"/>
                <w:szCs w:val="20"/>
                <w:lang w:bidi="en-US"/>
              </w:rPr>
              <w:t>当进水COD＜600mg/L，SS＜300mg/L，动植物油＜20mg/L，pH7～9时，处理后的水质指标pH、BOD</w:t>
            </w:r>
            <w:r>
              <w:rPr>
                <w:color w:val="000000"/>
                <w:kern w:val="0"/>
                <w:sz w:val="14"/>
                <w:szCs w:val="14"/>
                <w:lang w:bidi="en-US"/>
              </w:rPr>
              <w:t>5</w:t>
            </w:r>
            <w:r>
              <w:rPr>
                <w:color w:val="000000"/>
                <w:kern w:val="0"/>
                <w:sz w:val="20"/>
                <w:szCs w:val="20"/>
                <w:lang w:bidi="en-US"/>
              </w:rPr>
              <w:t>、SS、COD、NH</w:t>
            </w:r>
            <w:r>
              <w:rPr>
                <w:color w:val="000000"/>
                <w:kern w:val="0"/>
                <w:sz w:val="14"/>
                <w:szCs w:val="14"/>
                <w:lang w:bidi="en-US"/>
              </w:rPr>
              <w:t>3</w:t>
            </w:r>
            <w:r>
              <w:rPr>
                <w:color w:val="000000"/>
                <w:kern w:val="0"/>
                <w:sz w:val="20"/>
                <w:szCs w:val="20"/>
                <w:lang w:bidi="en-US"/>
              </w:rPr>
              <w:t>-N、磷酸盐（以P计）、粪大肠菌群数、动植物油应稳定达到相应排放标准的要求；供气量（气量/BOD</w:t>
            </w:r>
            <w:r>
              <w:rPr>
                <w:color w:val="000000"/>
                <w:kern w:val="0"/>
                <w:sz w:val="14"/>
                <w:szCs w:val="14"/>
                <w:lang w:bidi="en-US"/>
              </w:rPr>
              <w:t>5</w:t>
            </w:r>
            <w:r>
              <w:rPr>
                <w:color w:val="000000"/>
                <w:kern w:val="0"/>
                <w:sz w:val="20"/>
                <w:szCs w:val="20"/>
                <w:lang w:bidi="en-US"/>
              </w:rPr>
              <w:t>）为40～60m</w:t>
            </w:r>
            <w:r>
              <w:rPr>
                <w:color w:val="000000"/>
                <w:kern w:val="0"/>
                <w:sz w:val="20"/>
                <w:szCs w:val="20"/>
                <w:vertAlign w:val="superscript"/>
                <w:lang w:bidi="en-US"/>
              </w:rPr>
              <w:t>3</w:t>
            </w:r>
            <w:r>
              <w:rPr>
                <w:color w:val="000000"/>
                <w:kern w:val="0"/>
                <w:sz w:val="20"/>
                <w:szCs w:val="20"/>
                <w:lang w:bidi="en-US"/>
              </w:rPr>
              <w:t>/kg，噪声＜80dB（A）。</w:t>
            </w:r>
          </w:p>
        </w:tc>
        <w:tc>
          <w:tcPr>
            <w:tcW w:w="1041" w:type="pct"/>
            <w:tcBorders>
              <w:top w:val="single" w:color="auto" w:sz="4" w:space="0"/>
              <w:left w:val="single" w:color="auto" w:sz="4" w:space="0"/>
              <w:right w:val="single" w:color="auto" w:sz="4" w:space="0"/>
            </w:tcBorders>
            <w:shd w:val="clear" w:color="auto" w:fill="FFFFFF"/>
            <w:noWrap w:val="0"/>
            <w:vAlign w:val="center"/>
          </w:tcPr>
          <w:p w14:paraId="3708FA2D">
            <w:pPr>
              <w:spacing w:line="300" w:lineRule="exact"/>
              <w:rPr>
                <w:rFonts w:hint="default"/>
                <w:color w:val="000000"/>
                <w:kern w:val="0"/>
                <w:sz w:val="20"/>
                <w:szCs w:val="20"/>
                <w:lang w:bidi="en-US"/>
              </w:rPr>
            </w:pPr>
            <w:r>
              <w:rPr>
                <w:color w:val="000000"/>
                <w:kern w:val="0"/>
                <w:sz w:val="20"/>
                <w:szCs w:val="20"/>
                <w:lang w:bidi="en-US"/>
              </w:rPr>
              <w:t>生活污水或接近于生活污水的其他污水的处理。</w:t>
            </w:r>
          </w:p>
        </w:tc>
      </w:tr>
      <w:tr w14:paraId="74B94300">
        <w:tblPrEx>
          <w:tblCellMar>
            <w:top w:w="0" w:type="dxa"/>
            <w:left w:w="10" w:type="dxa"/>
            <w:bottom w:w="0" w:type="dxa"/>
            <w:right w:w="10" w:type="dxa"/>
          </w:tblCellMar>
        </w:tblPrEx>
        <w:trPr>
          <w:trHeight w:val="886" w:hRule="exact"/>
          <w:jc w:val="center"/>
        </w:trPr>
        <w:tc>
          <w:tcPr>
            <w:tcW w:w="239" w:type="pct"/>
            <w:tcBorders>
              <w:top w:val="single" w:color="auto" w:sz="4" w:space="0"/>
              <w:left w:val="single" w:color="auto" w:sz="4" w:space="0"/>
            </w:tcBorders>
            <w:shd w:val="clear" w:color="auto" w:fill="FFFFFF"/>
            <w:noWrap w:val="0"/>
            <w:vAlign w:val="center"/>
          </w:tcPr>
          <w:p w14:paraId="71F34C31">
            <w:pPr>
              <w:jc w:val="center"/>
              <w:rPr>
                <w:rFonts w:hint="default"/>
                <w:color w:val="000000"/>
                <w:kern w:val="0"/>
                <w:sz w:val="20"/>
                <w:szCs w:val="20"/>
                <w:lang w:eastAsia="en-US" w:bidi="en-US"/>
              </w:rPr>
            </w:pPr>
            <w:r>
              <w:rPr>
                <w:color w:val="000000"/>
                <w:kern w:val="0"/>
                <w:sz w:val="20"/>
                <w:szCs w:val="20"/>
                <w:lang w:eastAsia="en-US" w:bidi="en-US"/>
              </w:rPr>
              <w:t>25</w:t>
            </w:r>
          </w:p>
        </w:tc>
        <w:tc>
          <w:tcPr>
            <w:tcW w:w="556" w:type="pct"/>
            <w:vMerge w:val="continue"/>
            <w:tcBorders>
              <w:left w:val="single" w:color="auto" w:sz="4" w:space="0"/>
            </w:tcBorders>
            <w:shd w:val="clear" w:color="auto" w:fill="FFFFFF"/>
            <w:noWrap w:val="0"/>
            <w:vAlign w:val="center"/>
          </w:tcPr>
          <w:p w14:paraId="4FE8DAE0">
            <w:pPr>
              <w:spacing w:line="300" w:lineRule="exact"/>
              <w:jc w:val="center"/>
              <w:rPr>
                <w:rFonts w:hint="default"/>
                <w:color w:val="000000"/>
                <w:kern w:val="0"/>
                <w:sz w:val="24"/>
                <w:lang w:eastAsia="en-US" w:bidi="en-US"/>
              </w:rPr>
            </w:pPr>
          </w:p>
        </w:tc>
        <w:tc>
          <w:tcPr>
            <w:tcW w:w="714" w:type="pct"/>
            <w:tcBorders>
              <w:top w:val="single" w:color="auto" w:sz="4" w:space="0"/>
              <w:left w:val="single" w:color="auto" w:sz="4" w:space="0"/>
            </w:tcBorders>
            <w:shd w:val="clear" w:color="auto" w:fill="FFFFFF"/>
            <w:noWrap w:val="0"/>
            <w:vAlign w:val="top"/>
          </w:tcPr>
          <w:p w14:paraId="15334F66">
            <w:pPr>
              <w:spacing w:line="300" w:lineRule="exact"/>
              <w:jc w:val="center"/>
              <w:rPr>
                <w:rFonts w:hint="default"/>
                <w:color w:val="000000"/>
                <w:kern w:val="0"/>
                <w:sz w:val="20"/>
                <w:szCs w:val="20"/>
                <w:lang w:bidi="en-US"/>
              </w:rPr>
            </w:pPr>
            <w:r>
              <w:rPr>
                <w:color w:val="000000"/>
                <w:kern w:val="0"/>
                <w:sz w:val="20"/>
                <w:szCs w:val="20"/>
                <w:lang w:bidi="en-US"/>
              </w:rPr>
              <w:t>分散式一体化污水处理装置</w:t>
            </w:r>
          </w:p>
        </w:tc>
        <w:tc>
          <w:tcPr>
            <w:tcW w:w="2447" w:type="pct"/>
            <w:tcBorders>
              <w:top w:val="single" w:color="auto" w:sz="4" w:space="0"/>
              <w:left w:val="single" w:color="auto" w:sz="4" w:space="0"/>
            </w:tcBorders>
            <w:shd w:val="clear" w:color="auto" w:fill="FFFFFF"/>
            <w:noWrap w:val="0"/>
            <w:vAlign w:val="center"/>
          </w:tcPr>
          <w:p w14:paraId="01D417D8">
            <w:pPr>
              <w:spacing w:line="300" w:lineRule="exact"/>
              <w:rPr>
                <w:rFonts w:hint="default"/>
                <w:color w:val="000000"/>
                <w:kern w:val="0"/>
                <w:sz w:val="20"/>
                <w:szCs w:val="20"/>
                <w:lang w:bidi="en-US"/>
              </w:rPr>
            </w:pPr>
            <w:r>
              <w:rPr>
                <w:color w:val="000000"/>
                <w:kern w:val="0"/>
                <w:sz w:val="20"/>
                <w:szCs w:val="20"/>
                <w:lang w:bidi="en-US"/>
              </w:rPr>
              <w:t>出水水质符合《污水综合排放标准》（GB8978-1996）一级A排放标准。</w:t>
            </w:r>
          </w:p>
        </w:tc>
        <w:tc>
          <w:tcPr>
            <w:tcW w:w="1041" w:type="pct"/>
            <w:tcBorders>
              <w:top w:val="single" w:color="auto" w:sz="4" w:space="0"/>
              <w:left w:val="single" w:color="auto" w:sz="4" w:space="0"/>
              <w:right w:val="single" w:color="auto" w:sz="4" w:space="0"/>
            </w:tcBorders>
            <w:shd w:val="clear" w:color="auto" w:fill="FFFFFF"/>
            <w:noWrap w:val="0"/>
            <w:vAlign w:val="center"/>
          </w:tcPr>
          <w:p w14:paraId="2E62F7D5">
            <w:pPr>
              <w:spacing w:line="300" w:lineRule="exact"/>
              <w:rPr>
                <w:rFonts w:hint="default"/>
                <w:color w:val="000000"/>
                <w:kern w:val="0"/>
                <w:sz w:val="20"/>
                <w:szCs w:val="20"/>
                <w:lang w:bidi="en-US"/>
              </w:rPr>
            </w:pPr>
            <w:r>
              <w:rPr>
                <w:color w:val="000000"/>
                <w:kern w:val="0"/>
                <w:sz w:val="20"/>
                <w:szCs w:val="20"/>
                <w:lang w:bidi="en-US"/>
              </w:rPr>
              <w:t>农村污水分散式处理。</w:t>
            </w:r>
          </w:p>
        </w:tc>
      </w:tr>
      <w:tr w14:paraId="3CFBF9D2">
        <w:tblPrEx>
          <w:tblCellMar>
            <w:top w:w="0" w:type="dxa"/>
            <w:left w:w="10" w:type="dxa"/>
            <w:bottom w:w="0" w:type="dxa"/>
            <w:right w:w="10" w:type="dxa"/>
          </w:tblCellMar>
        </w:tblPrEx>
        <w:trPr>
          <w:trHeight w:val="1655" w:hRule="exact"/>
          <w:jc w:val="center"/>
        </w:trPr>
        <w:tc>
          <w:tcPr>
            <w:tcW w:w="239" w:type="pct"/>
            <w:tcBorders>
              <w:top w:val="single" w:color="auto" w:sz="4" w:space="0"/>
              <w:left w:val="single" w:color="auto" w:sz="4" w:space="0"/>
            </w:tcBorders>
            <w:shd w:val="clear" w:color="auto" w:fill="FFFFFF"/>
            <w:noWrap w:val="0"/>
            <w:vAlign w:val="center"/>
          </w:tcPr>
          <w:p w14:paraId="04AD4929">
            <w:pPr>
              <w:jc w:val="center"/>
              <w:rPr>
                <w:rFonts w:hint="default"/>
                <w:color w:val="000000"/>
                <w:kern w:val="0"/>
                <w:sz w:val="20"/>
                <w:szCs w:val="20"/>
                <w:lang w:eastAsia="en-US" w:bidi="en-US"/>
              </w:rPr>
            </w:pPr>
            <w:r>
              <w:rPr>
                <w:color w:val="000000"/>
                <w:kern w:val="0"/>
                <w:sz w:val="20"/>
                <w:szCs w:val="20"/>
                <w:lang w:eastAsia="en-US" w:bidi="en-US"/>
              </w:rPr>
              <w:t>26</w:t>
            </w:r>
          </w:p>
        </w:tc>
        <w:tc>
          <w:tcPr>
            <w:tcW w:w="556" w:type="pct"/>
            <w:vMerge w:val="restart"/>
            <w:tcBorders>
              <w:top w:val="single" w:color="auto" w:sz="4" w:space="0"/>
              <w:left w:val="single" w:color="auto" w:sz="4" w:space="0"/>
            </w:tcBorders>
            <w:shd w:val="clear" w:color="auto" w:fill="FFFFFF"/>
            <w:noWrap w:val="0"/>
            <w:vAlign w:val="center"/>
          </w:tcPr>
          <w:p w14:paraId="784A66E0">
            <w:pPr>
              <w:spacing w:line="300" w:lineRule="exact"/>
              <w:jc w:val="center"/>
              <w:rPr>
                <w:rFonts w:hint="default"/>
                <w:color w:val="000000"/>
                <w:kern w:val="0"/>
                <w:sz w:val="20"/>
                <w:szCs w:val="20"/>
                <w:lang w:eastAsia="en-US" w:bidi="en-US"/>
              </w:rPr>
            </w:pPr>
            <w:r>
              <w:rPr>
                <w:color w:val="000000"/>
                <w:kern w:val="0"/>
                <w:sz w:val="20"/>
                <w:szCs w:val="20"/>
                <w:lang w:eastAsia="en-US" w:bidi="en-US"/>
              </w:rPr>
              <w:t>厌氧处理装置</w:t>
            </w:r>
          </w:p>
        </w:tc>
        <w:tc>
          <w:tcPr>
            <w:tcW w:w="714" w:type="pct"/>
            <w:tcBorders>
              <w:top w:val="single" w:color="auto" w:sz="4" w:space="0"/>
              <w:left w:val="single" w:color="auto" w:sz="4" w:space="0"/>
            </w:tcBorders>
            <w:shd w:val="clear" w:color="auto" w:fill="FFFFFF"/>
            <w:noWrap w:val="0"/>
            <w:vAlign w:val="center"/>
          </w:tcPr>
          <w:p w14:paraId="081F6050">
            <w:pPr>
              <w:spacing w:line="300" w:lineRule="exact"/>
              <w:jc w:val="left"/>
              <w:rPr>
                <w:rFonts w:hint="default"/>
                <w:color w:val="000000"/>
                <w:kern w:val="0"/>
                <w:sz w:val="20"/>
                <w:szCs w:val="20"/>
                <w:lang w:bidi="en-US"/>
              </w:rPr>
            </w:pPr>
            <w:r>
              <w:rPr>
                <w:color w:val="000000"/>
                <w:kern w:val="0"/>
                <w:sz w:val="20"/>
                <w:szCs w:val="20"/>
                <w:lang w:bidi="en-US"/>
              </w:rPr>
              <w:t>升流式颗粒污泥床反应装置（UASB）</w:t>
            </w:r>
          </w:p>
        </w:tc>
        <w:tc>
          <w:tcPr>
            <w:tcW w:w="2447" w:type="pct"/>
            <w:tcBorders>
              <w:top w:val="single" w:color="auto" w:sz="4" w:space="0"/>
              <w:left w:val="single" w:color="auto" w:sz="4" w:space="0"/>
            </w:tcBorders>
            <w:shd w:val="clear" w:color="auto" w:fill="FFFFFF"/>
            <w:noWrap w:val="0"/>
            <w:vAlign w:val="center"/>
          </w:tcPr>
          <w:p w14:paraId="7BA0EAA7">
            <w:pPr>
              <w:spacing w:line="300" w:lineRule="exact"/>
              <w:rPr>
                <w:rFonts w:hint="default"/>
                <w:color w:val="000000"/>
                <w:kern w:val="0"/>
                <w:sz w:val="20"/>
                <w:szCs w:val="20"/>
                <w:lang w:bidi="en-US"/>
              </w:rPr>
            </w:pPr>
            <w:r>
              <w:rPr>
                <w:color w:val="000000"/>
                <w:kern w:val="0"/>
                <w:sz w:val="20"/>
                <w:szCs w:val="20"/>
                <w:lang w:bidi="en-US"/>
              </w:rPr>
              <w:t>当进水COD浓度＞1500mg/L，NH</w:t>
            </w:r>
            <w:r>
              <w:rPr>
                <w:color w:val="000000"/>
                <w:kern w:val="0"/>
                <w:sz w:val="14"/>
                <w:szCs w:val="14"/>
                <w:lang w:bidi="en-US"/>
              </w:rPr>
              <w:t>4</w:t>
            </w:r>
            <w:r>
              <w:rPr>
                <w:color w:val="000000"/>
                <w:kern w:val="0"/>
                <w:sz w:val="20"/>
                <w:szCs w:val="20"/>
                <w:lang w:bidi="en-US"/>
              </w:rPr>
              <w:t>-N浓度＜2000mg/L，SS浓度＜1500mg/L，BOD</w:t>
            </w:r>
            <w:r>
              <w:rPr>
                <w:color w:val="000000"/>
                <w:kern w:val="0"/>
                <w:sz w:val="14"/>
                <w:szCs w:val="14"/>
                <w:lang w:bidi="en-US"/>
              </w:rPr>
              <w:t>5</w:t>
            </w:r>
            <w:r>
              <w:rPr>
                <w:color w:val="000000"/>
                <w:kern w:val="0"/>
                <w:sz w:val="20"/>
                <w:szCs w:val="20"/>
                <w:lang w:bidi="en-US"/>
              </w:rPr>
              <w:t>/COD</w:t>
            </w:r>
            <w:r>
              <w:rPr>
                <w:color w:val="000000"/>
                <w:kern w:val="0"/>
                <w:sz w:val="20"/>
                <w:szCs w:val="20"/>
                <w:vertAlign w:val="subscript"/>
                <w:lang w:bidi="en-US"/>
              </w:rPr>
              <w:t>cr</w:t>
            </w:r>
            <w:r>
              <w:rPr>
                <w:color w:val="000000"/>
                <w:kern w:val="0"/>
                <w:sz w:val="20"/>
                <w:szCs w:val="20"/>
                <w:lang w:bidi="en-US"/>
              </w:rPr>
              <w:t>的比值＞0.3时，装置对COD的去除率为80%～90%，对BOD</w:t>
            </w:r>
            <w:r>
              <w:rPr>
                <w:color w:val="000000"/>
                <w:kern w:val="0"/>
                <w:sz w:val="14"/>
                <w:szCs w:val="14"/>
                <w:lang w:bidi="en-US"/>
              </w:rPr>
              <w:t>5</w:t>
            </w:r>
            <w:r>
              <w:rPr>
                <w:color w:val="000000"/>
                <w:kern w:val="0"/>
                <w:sz w:val="20"/>
                <w:szCs w:val="20"/>
                <w:lang w:bidi="en-US"/>
              </w:rPr>
              <w:t>的去除率为70%～80%，对SS的去除率为30%～50%。</w:t>
            </w:r>
          </w:p>
        </w:tc>
        <w:tc>
          <w:tcPr>
            <w:tcW w:w="1041" w:type="pct"/>
            <w:tcBorders>
              <w:top w:val="single" w:color="auto" w:sz="4" w:space="0"/>
              <w:left w:val="single" w:color="auto" w:sz="4" w:space="0"/>
              <w:right w:val="single" w:color="auto" w:sz="4" w:space="0"/>
            </w:tcBorders>
            <w:shd w:val="clear" w:color="auto" w:fill="FFFFFF"/>
            <w:noWrap w:val="0"/>
            <w:vAlign w:val="center"/>
          </w:tcPr>
          <w:p w14:paraId="0D59ACD6">
            <w:pPr>
              <w:spacing w:line="300" w:lineRule="exact"/>
              <w:rPr>
                <w:rFonts w:hint="default"/>
                <w:color w:val="000000"/>
                <w:kern w:val="0"/>
                <w:sz w:val="20"/>
                <w:szCs w:val="20"/>
                <w:lang w:bidi="en-US"/>
              </w:rPr>
            </w:pPr>
            <w:r>
              <w:rPr>
                <w:color w:val="000000"/>
                <w:kern w:val="0"/>
                <w:sz w:val="20"/>
                <w:szCs w:val="20"/>
                <w:lang w:bidi="en-US"/>
              </w:rPr>
              <w:t>高、中等浓度的有机废水。</w:t>
            </w:r>
          </w:p>
        </w:tc>
      </w:tr>
      <w:tr w14:paraId="6DAFEE23">
        <w:tblPrEx>
          <w:tblCellMar>
            <w:top w:w="0" w:type="dxa"/>
            <w:left w:w="10" w:type="dxa"/>
            <w:bottom w:w="0" w:type="dxa"/>
            <w:right w:w="10" w:type="dxa"/>
          </w:tblCellMar>
        </w:tblPrEx>
        <w:trPr>
          <w:trHeight w:val="2369" w:hRule="exact"/>
          <w:jc w:val="center"/>
        </w:trPr>
        <w:tc>
          <w:tcPr>
            <w:tcW w:w="239" w:type="pct"/>
            <w:tcBorders>
              <w:top w:val="single" w:color="auto" w:sz="4" w:space="0"/>
              <w:left w:val="single" w:color="auto" w:sz="4" w:space="0"/>
            </w:tcBorders>
            <w:shd w:val="clear" w:color="auto" w:fill="FFFFFF"/>
            <w:noWrap w:val="0"/>
            <w:vAlign w:val="center"/>
          </w:tcPr>
          <w:p w14:paraId="75B43DDA">
            <w:pPr>
              <w:jc w:val="center"/>
              <w:rPr>
                <w:rFonts w:hint="default"/>
                <w:color w:val="000000"/>
                <w:kern w:val="0"/>
                <w:sz w:val="20"/>
                <w:szCs w:val="20"/>
                <w:lang w:eastAsia="en-US" w:bidi="en-US"/>
              </w:rPr>
            </w:pPr>
            <w:r>
              <w:rPr>
                <w:color w:val="000000"/>
                <w:kern w:val="0"/>
                <w:sz w:val="20"/>
                <w:szCs w:val="20"/>
                <w:lang w:eastAsia="en-US" w:bidi="en-US"/>
              </w:rPr>
              <w:t>27</w:t>
            </w:r>
          </w:p>
        </w:tc>
        <w:tc>
          <w:tcPr>
            <w:tcW w:w="556" w:type="pct"/>
            <w:vMerge w:val="continue"/>
            <w:tcBorders>
              <w:left w:val="single" w:color="auto" w:sz="4" w:space="0"/>
            </w:tcBorders>
            <w:shd w:val="clear" w:color="auto" w:fill="FFFFFF"/>
            <w:noWrap w:val="0"/>
            <w:vAlign w:val="center"/>
          </w:tcPr>
          <w:p w14:paraId="38C66C87">
            <w:pPr>
              <w:spacing w:line="300" w:lineRule="exact"/>
              <w:jc w:val="left"/>
              <w:rPr>
                <w:rFonts w:hint="default"/>
                <w:color w:val="000000"/>
                <w:kern w:val="0"/>
                <w:sz w:val="24"/>
                <w:lang w:eastAsia="en-US" w:bidi="en-US"/>
              </w:rPr>
            </w:pPr>
          </w:p>
        </w:tc>
        <w:tc>
          <w:tcPr>
            <w:tcW w:w="714" w:type="pct"/>
            <w:tcBorders>
              <w:top w:val="single" w:color="auto" w:sz="4" w:space="0"/>
              <w:left w:val="single" w:color="auto" w:sz="4" w:space="0"/>
            </w:tcBorders>
            <w:shd w:val="clear" w:color="auto" w:fill="FFFFFF"/>
            <w:noWrap w:val="0"/>
            <w:vAlign w:val="center"/>
          </w:tcPr>
          <w:p w14:paraId="5FE0E159">
            <w:pPr>
              <w:spacing w:line="300" w:lineRule="exact"/>
              <w:jc w:val="center"/>
              <w:rPr>
                <w:rFonts w:hint="default"/>
                <w:color w:val="000000"/>
                <w:kern w:val="0"/>
                <w:sz w:val="20"/>
                <w:szCs w:val="20"/>
                <w:lang w:bidi="en-US"/>
              </w:rPr>
            </w:pPr>
            <w:r>
              <w:rPr>
                <w:color w:val="000000"/>
                <w:kern w:val="0"/>
                <w:sz w:val="20"/>
                <w:szCs w:val="20"/>
                <w:lang w:bidi="en-US"/>
              </w:rPr>
              <w:t>膨胀颗粒污泥床装置（EGSB）</w:t>
            </w:r>
          </w:p>
        </w:tc>
        <w:tc>
          <w:tcPr>
            <w:tcW w:w="2447" w:type="pct"/>
            <w:tcBorders>
              <w:top w:val="single" w:color="auto" w:sz="4" w:space="0"/>
              <w:left w:val="single" w:color="auto" w:sz="4" w:space="0"/>
            </w:tcBorders>
            <w:shd w:val="clear" w:color="auto" w:fill="FFFFFF"/>
            <w:noWrap w:val="0"/>
            <w:vAlign w:val="center"/>
          </w:tcPr>
          <w:p w14:paraId="561B11B8">
            <w:pPr>
              <w:spacing w:line="300" w:lineRule="exact"/>
              <w:rPr>
                <w:rFonts w:hint="default"/>
                <w:color w:val="000000"/>
                <w:kern w:val="0"/>
                <w:sz w:val="20"/>
                <w:szCs w:val="20"/>
                <w:lang w:bidi="en-US"/>
              </w:rPr>
            </w:pPr>
            <w:r>
              <w:rPr>
                <w:color w:val="000000"/>
                <w:kern w:val="0"/>
                <w:sz w:val="20"/>
                <w:szCs w:val="20"/>
                <w:lang w:bidi="en-US"/>
              </w:rPr>
              <w:t>当进水COD浓度＞1000mg/L，NH</w:t>
            </w:r>
            <w:r>
              <w:rPr>
                <w:color w:val="000000"/>
                <w:kern w:val="0"/>
                <w:sz w:val="14"/>
                <w:szCs w:val="14"/>
                <w:lang w:bidi="en-US"/>
              </w:rPr>
              <w:t>4</w:t>
            </w:r>
            <w:r>
              <w:rPr>
                <w:color w:val="000000"/>
                <w:kern w:val="0"/>
                <w:sz w:val="20"/>
                <w:szCs w:val="20"/>
                <w:lang w:bidi="en-US"/>
              </w:rPr>
              <w:t>-N浓度＜1000mg/L，SS浓度＜2000mg/L，COD/SO</w:t>
            </w:r>
            <w:r>
              <w:rPr>
                <w:color w:val="000000"/>
                <w:kern w:val="0"/>
                <w:sz w:val="14"/>
                <w:szCs w:val="14"/>
                <w:lang w:bidi="en-US"/>
              </w:rPr>
              <w:t>4</w:t>
            </w:r>
            <w:r>
              <w:rPr>
                <w:color w:val="000000"/>
                <w:kern w:val="0"/>
                <w:sz w:val="20"/>
                <w:szCs w:val="20"/>
                <w:vertAlign w:val="superscript"/>
                <w:lang w:bidi="en-US"/>
              </w:rPr>
              <w:t>2</w:t>
            </w:r>
            <w:r>
              <w:rPr>
                <w:color w:val="000000"/>
                <w:kern w:val="0"/>
                <w:sz w:val="14"/>
                <w:szCs w:val="14"/>
                <w:lang w:bidi="en-US"/>
              </w:rPr>
              <w:t>-</w:t>
            </w:r>
            <w:r>
              <w:rPr>
                <w:color w:val="000000"/>
                <w:kern w:val="0"/>
                <w:sz w:val="20"/>
                <w:szCs w:val="20"/>
                <w:lang w:bidi="en-US"/>
              </w:rPr>
              <w:t>的比值＞10时，对易降解废水：COD的去除率为70%～90%，BOD</w:t>
            </w:r>
            <w:r>
              <w:rPr>
                <w:color w:val="000000"/>
                <w:kern w:val="0"/>
                <w:sz w:val="14"/>
                <w:szCs w:val="14"/>
                <w:lang w:bidi="en-US"/>
              </w:rPr>
              <w:t>5</w:t>
            </w:r>
            <w:r>
              <w:rPr>
                <w:color w:val="000000"/>
                <w:kern w:val="0"/>
                <w:sz w:val="20"/>
                <w:szCs w:val="20"/>
                <w:lang w:bidi="en-US"/>
              </w:rPr>
              <w:t>的去除率为60%～80%，SS的去除率为30%～50%；难降解废水:COD的去除率为50%～70%，BOD</w:t>
            </w:r>
            <w:r>
              <w:rPr>
                <w:color w:val="000000"/>
                <w:kern w:val="0"/>
                <w:sz w:val="14"/>
                <w:szCs w:val="14"/>
                <w:lang w:bidi="en-US"/>
              </w:rPr>
              <w:t>5</w:t>
            </w:r>
            <w:r>
              <w:rPr>
                <w:color w:val="000000"/>
                <w:kern w:val="0"/>
                <w:sz w:val="20"/>
                <w:szCs w:val="20"/>
                <w:lang w:bidi="en-US"/>
              </w:rPr>
              <w:t>的去除率为40%～60%，SS的去除率为20%～40%。</w:t>
            </w:r>
          </w:p>
        </w:tc>
        <w:tc>
          <w:tcPr>
            <w:tcW w:w="1041" w:type="pct"/>
            <w:tcBorders>
              <w:top w:val="single" w:color="auto" w:sz="4" w:space="0"/>
              <w:left w:val="single" w:color="auto" w:sz="4" w:space="0"/>
              <w:right w:val="single" w:color="auto" w:sz="4" w:space="0"/>
            </w:tcBorders>
            <w:shd w:val="clear" w:color="auto" w:fill="FFFFFF"/>
            <w:noWrap w:val="0"/>
            <w:vAlign w:val="center"/>
          </w:tcPr>
          <w:p w14:paraId="7FB461C9">
            <w:pPr>
              <w:spacing w:line="300" w:lineRule="exact"/>
              <w:rPr>
                <w:rFonts w:hint="default"/>
                <w:color w:val="000000"/>
                <w:kern w:val="0"/>
                <w:sz w:val="20"/>
                <w:szCs w:val="20"/>
                <w:lang w:bidi="en-US"/>
              </w:rPr>
            </w:pPr>
            <w:r>
              <w:rPr>
                <w:color w:val="000000"/>
                <w:kern w:val="0"/>
                <w:sz w:val="20"/>
                <w:szCs w:val="20"/>
                <w:lang w:bidi="en-US"/>
              </w:rPr>
              <w:t>高、中等浓度的有机废水。</w:t>
            </w:r>
          </w:p>
        </w:tc>
      </w:tr>
      <w:tr w14:paraId="0FF7C61E">
        <w:tblPrEx>
          <w:tblCellMar>
            <w:top w:w="0" w:type="dxa"/>
            <w:left w:w="10" w:type="dxa"/>
            <w:bottom w:w="0" w:type="dxa"/>
            <w:right w:w="10" w:type="dxa"/>
          </w:tblCellMar>
        </w:tblPrEx>
        <w:trPr>
          <w:trHeight w:val="1030" w:hRule="exact"/>
          <w:jc w:val="center"/>
        </w:trPr>
        <w:tc>
          <w:tcPr>
            <w:tcW w:w="239" w:type="pct"/>
            <w:tcBorders>
              <w:top w:val="single" w:color="auto" w:sz="4" w:space="0"/>
              <w:left w:val="single" w:color="auto" w:sz="4" w:space="0"/>
              <w:bottom w:val="single" w:color="auto" w:sz="4" w:space="0"/>
            </w:tcBorders>
            <w:shd w:val="clear" w:color="auto" w:fill="FFFFFF"/>
            <w:noWrap w:val="0"/>
            <w:vAlign w:val="center"/>
          </w:tcPr>
          <w:p w14:paraId="11506878">
            <w:pPr>
              <w:jc w:val="center"/>
              <w:rPr>
                <w:rFonts w:hint="default"/>
                <w:color w:val="000000"/>
                <w:kern w:val="0"/>
                <w:sz w:val="20"/>
                <w:szCs w:val="20"/>
                <w:lang w:eastAsia="en-US" w:bidi="en-US"/>
              </w:rPr>
            </w:pPr>
            <w:r>
              <w:rPr>
                <w:color w:val="000000"/>
                <w:kern w:val="0"/>
                <w:sz w:val="20"/>
                <w:szCs w:val="20"/>
                <w:lang w:eastAsia="en-US" w:bidi="en-US"/>
              </w:rPr>
              <w:t>28</w:t>
            </w:r>
          </w:p>
        </w:tc>
        <w:tc>
          <w:tcPr>
            <w:tcW w:w="556" w:type="pct"/>
            <w:vMerge w:val="continue"/>
            <w:tcBorders>
              <w:left w:val="single" w:color="auto" w:sz="4" w:space="0"/>
              <w:bottom w:val="single" w:color="auto" w:sz="4" w:space="0"/>
            </w:tcBorders>
            <w:shd w:val="clear" w:color="auto" w:fill="FFFFFF"/>
            <w:noWrap w:val="0"/>
            <w:vAlign w:val="center"/>
          </w:tcPr>
          <w:p w14:paraId="73C0F6C2">
            <w:pPr>
              <w:spacing w:line="300" w:lineRule="exact"/>
              <w:jc w:val="left"/>
              <w:rPr>
                <w:rFonts w:hint="default"/>
                <w:color w:val="000000"/>
                <w:kern w:val="0"/>
                <w:sz w:val="24"/>
                <w:lang w:eastAsia="en-US" w:bidi="en-US"/>
              </w:rPr>
            </w:pPr>
          </w:p>
        </w:tc>
        <w:tc>
          <w:tcPr>
            <w:tcW w:w="714" w:type="pct"/>
            <w:tcBorders>
              <w:top w:val="single" w:color="auto" w:sz="4" w:space="0"/>
              <w:left w:val="single" w:color="auto" w:sz="4" w:space="0"/>
              <w:bottom w:val="single" w:color="auto" w:sz="4" w:space="0"/>
            </w:tcBorders>
            <w:shd w:val="clear" w:color="auto" w:fill="FFFFFF"/>
            <w:noWrap w:val="0"/>
            <w:vAlign w:val="center"/>
          </w:tcPr>
          <w:p w14:paraId="33A12C21">
            <w:pPr>
              <w:spacing w:line="300" w:lineRule="exact"/>
              <w:jc w:val="center"/>
              <w:rPr>
                <w:rFonts w:hint="default"/>
                <w:color w:val="000000"/>
                <w:kern w:val="0"/>
                <w:sz w:val="20"/>
                <w:szCs w:val="20"/>
                <w:lang w:bidi="en-US"/>
              </w:rPr>
            </w:pPr>
            <w:r>
              <w:rPr>
                <w:color w:val="000000"/>
                <w:kern w:val="0"/>
                <w:sz w:val="20"/>
                <w:szCs w:val="20"/>
                <w:lang w:bidi="en-US"/>
              </w:rPr>
              <w:t>内循环厌氧反应装置（IC）</w:t>
            </w:r>
          </w:p>
        </w:tc>
        <w:tc>
          <w:tcPr>
            <w:tcW w:w="2447" w:type="pct"/>
            <w:tcBorders>
              <w:top w:val="single" w:color="auto" w:sz="4" w:space="0"/>
              <w:left w:val="single" w:color="auto" w:sz="4" w:space="0"/>
              <w:bottom w:val="single" w:color="auto" w:sz="4" w:space="0"/>
            </w:tcBorders>
            <w:shd w:val="clear" w:color="auto" w:fill="FFFFFF"/>
            <w:noWrap w:val="0"/>
            <w:vAlign w:val="center"/>
          </w:tcPr>
          <w:p w14:paraId="2395D826">
            <w:pPr>
              <w:spacing w:line="300" w:lineRule="exact"/>
              <w:rPr>
                <w:rFonts w:hint="default"/>
                <w:color w:val="000000"/>
                <w:kern w:val="0"/>
                <w:sz w:val="20"/>
                <w:szCs w:val="20"/>
                <w:lang w:eastAsia="en-US" w:bidi="en-US"/>
              </w:rPr>
            </w:pPr>
            <w:r>
              <w:rPr>
                <w:color w:val="000000"/>
                <w:kern w:val="0"/>
                <w:sz w:val="20"/>
                <w:szCs w:val="20"/>
                <w:lang w:eastAsia="en-US" w:bidi="en-US"/>
              </w:rPr>
              <w:t>COD的去除率＞70%，BOD</w:t>
            </w:r>
            <w:r>
              <w:rPr>
                <w:color w:val="000000"/>
                <w:kern w:val="0"/>
                <w:sz w:val="14"/>
                <w:szCs w:val="14"/>
                <w:lang w:eastAsia="en-US" w:bidi="en-US"/>
              </w:rPr>
              <w:t>5</w:t>
            </w:r>
            <w:r>
              <w:rPr>
                <w:color w:val="000000"/>
                <w:kern w:val="0"/>
                <w:sz w:val="20"/>
                <w:szCs w:val="20"/>
                <w:lang w:eastAsia="en-US" w:bidi="en-US"/>
              </w:rPr>
              <w:t>的去除率＞80%。</w:t>
            </w:r>
          </w:p>
        </w:tc>
        <w:tc>
          <w:tcPr>
            <w:tcW w:w="1041"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460F6F99">
            <w:pPr>
              <w:spacing w:line="300" w:lineRule="exact"/>
              <w:rPr>
                <w:rFonts w:hint="default"/>
                <w:color w:val="000000"/>
                <w:kern w:val="0"/>
                <w:sz w:val="20"/>
                <w:szCs w:val="20"/>
                <w:lang w:bidi="en-US"/>
              </w:rPr>
            </w:pPr>
            <w:r>
              <w:rPr>
                <w:color w:val="000000"/>
                <w:kern w:val="0"/>
                <w:sz w:val="20"/>
                <w:szCs w:val="20"/>
                <w:lang w:bidi="en-US"/>
              </w:rPr>
              <w:t>高、中等浓度的有机废水。</w:t>
            </w:r>
          </w:p>
        </w:tc>
      </w:tr>
    </w:tbl>
    <w:p w14:paraId="78DD0471">
      <w:pPr>
        <w:spacing w:after="380"/>
        <w:jc w:val="left"/>
        <w:rPr>
          <w:rFonts w:hint="default" w:ascii="楷体_GB2312" w:hAnsi="楷体_GB2312" w:eastAsia="楷体_GB2312" w:cs="楷体_GB2312"/>
          <w:b w:val="0"/>
          <w:bCs w:val="0"/>
          <w:color w:val="000000"/>
          <w:kern w:val="0"/>
          <w:sz w:val="32"/>
          <w:szCs w:val="48"/>
          <w:lang w:bidi="en-US"/>
        </w:rPr>
      </w:pPr>
    </w:p>
    <w:p w14:paraId="366977D9">
      <w:pPr>
        <w:spacing w:after="380"/>
        <w:ind w:firstLine="640" w:firstLineChars="200"/>
        <w:jc w:val="left"/>
        <w:rPr>
          <w:rFonts w:ascii="楷体_GB2312" w:hAnsi="楷体_GB2312" w:eastAsia="楷体_GB2312" w:cs="楷体_GB2312"/>
          <w:b w:val="0"/>
          <w:bCs w:val="0"/>
          <w:color w:val="000000"/>
          <w:kern w:val="0"/>
          <w:sz w:val="32"/>
          <w:szCs w:val="48"/>
          <w:lang w:bidi="en-US"/>
        </w:rPr>
      </w:pPr>
      <w:bookmarkStart w:id="111" w:name="bookmark26"/>
      <w:bookmarkEnd w:id="111"/>
      <w:bookmarkStart w:id="112" w:name="_Toc6930_WPSOffice_Level2"/>
    </w:p>
    <w:p w14:paraId="15F72601">
      <w:pPr>
        <w:spacing w:after="380"/>
        <w:ind w:firstLine="640" w:firstLineChars="200"/>
        <w:jc w:val="left"/>
        <w:rPr>
          <w:rFonts w:hint="default" w:ascii="楷体_GB2312" w:hAnsi="楷体_GB2312" w:eastAsia="楷体_GB2312" w:cs="楷体_GB2312"/>
          <w:b w:val="0"/>
          <w:bCs w:val="0"/>
          <w:color w:val="000000"/>
          <w:kern w:val="0"/>
          <w:sz w:val="32"/>
          <w:szCs w:val="48"/>
          <w:lang w:bidi="en-US"/>
        </w:rPr>
      </w:pPr>
      <w:r>
        <w:rPr>
          <w:rFonts w:ascii="楷体_GB2312" w:hAnsi="楷体_GB2312" w:eastAsia="楷体_GB2312" w:cs="楷体_GB2312"/>
          <w:b w:val="0"/>
          <w:bCs w:val="0"/>
          <w:color w:val="000000"/>
          <w:kern w:val="0"/>
          <w:sz w:val="32"/>
          <w:szCs w:val="48"/>
          <w:lang w:bidi="en-US"/>
        </w:rPr>
        <w:t>（五）噪声与振动污染控制(材料)设备</w:t>
      </w:r>
      <w:bookmarkEnd w:id="112"/>
    </w:p>
    <w:tbl>
      <w:tblPr>
        <w:tblStyle w:val="3"/>
        <w:tblW w:w="4998" w:type="pct"/>
        <w:jc w:val="center"/>
        <w:tblLayout w:type="autofit"/>
        <w:tblCellMar>
          <w:top w:w="0" w:type="dxa"/>
          <w:left w:w="10" w:type="dxa"/>
          <w:bottom w:w="0" w:type="dxa"/>
          <w:right w:w="10" w:type="dxa"/>
        </w:tblCellMar>
      </w:tblPr>
      <w:tblGrid>
        <w:gridCol w:w="483"/>
        <w:gridCol w:w="1254"/>
        <w:gridCol w:w="4524"/>
        <w:gridCol w:w="2061"/>
      </w:tblGrid>
      <w:tr w14:paraId="72D2F006">
        <w:tblPrEx>
          <w:tblCellMar>
            <w:top w:w="0" w:type="dxa"/>
            <w:left w:w="10" w:type="dxa"/>
            <w:bottom w:w="0" w:type="dxa"/>
            <w:right w:w="10" w:type="dxa"/>
          </w:tblCellMar>
        </w:tblPrEx>
        <w:trPr>
          <w:trHeight w:val="504" w:hRule="exact"/>
          <w:jc w:val="center"/>
        </w:trPr>
        <w:tc>
          <w:tcPr>
            <w:tcW w:w="290" w:type="pct"/>
            <w:tcBorders>
              <w:top w:val="single" w:color="auto" w:sz="4" w:space="0"/>
              <w:left w:val="single" w:color="auto" w:sz="4" w:space="0"/>
            </w:tcBorders>
            <w:shd w:val="clear" w:color="auto" w:fill="FFFFFF"/>
            <w:noWrap w:val="0"/>
            <w:vAlign w:val="center"/>
          </w:tcPr>
          <w:p w14:paraId="7AE29A7E">
            <w:pPr>
              <w:jc w:val="center"/>
              <w:rPr>
                <w:rFonts w:hint="default"/>
                <w:color w:val="000000"/>
                <w:kern w:val="0"/>
                <w:sz w:val="21"/>
                <w:szCs w:val="21"/>
                <w:lang w:eastAsia="en-US" w:bidi="en-US"/>
              </w:rPr>
            </w:pPr>
            <w:r>
              <w:rPr>
                <w:b/>
                <w:bCs/>
                <w:color w:val="000000"/>
                <w:kern w:val="0"/>
                <w:sz w:val="21"/>
                <w:szCs w:val="21"/>
                <w:lang w:eastAsia="en-US" w:bidi="en-US"/>
              </w:rPr>
              <w:t>序号</w:t>
            </w:r>
          </w:p>
        </w:tc>
        <w:tc>
          <w:tcPr>
            <w:tcW w:w="753" w:type="pct"/>
            <w:tcBorders>
              <w:top w:val="single" w:color="auto" w:sz="4" w:space="0"/>
              <w:left w:val="single" w:color="auto" w:sz="4" w:space="0"/>
            </w:tcBorders>
            <w:shd w:val="clear" w:color="auto" w:fill="FFFFFF"/>
            <w:noWrap w:val="0"/>
            <w:vAlign w:val="center"/>
          </w:tcPr>
          <w:p w14:paraId="0CD82601">
            <w:pPr>
              <w:jc w:val="center"/>
              <w:rPr>
                <w:rFonts w:hint="default"/>
                <w:color w:val="000000"/>
                <w:kern w:val="0"/>
                <w:sz w:val="21"/>
                <w:szCs w:val="21"/>
                <w:lang w:eastAsia="en-US" w:bidi="en-US"/>
              </w:rPr>
            </w:pPr>
            <w:r>
              <w:rPr>
                <w:b/>
                <w:bCs/>
                <w:color w:val="000000"/>
                <w:kern w:val="0"/>
                <w:sz w:val="21"/>
                <w:szCs w:val="21"/>
                <w:lang w:eastAsia="en-US" w:bidi="en-US"/>
              </w:rPr>
              <w:t>设备名称</w:t>
            </w:r>
          </w:p>
        </w:tc>
        <w:tc>
          <w:tcPr>
            <w:tcW w:w="2717" w:type="pct"/>
            <w:tcBorders>
              <w:top w:val="single" w:color="auto" w:sz="4" w:space="0"/>
              <w:left w:val="single" w:color="auto" w:sz="4" w:space="0"/>
            </w:tcBorders>
            <w:shd w:val="clear" w:color="auto" w:fill="FFFFFF"/>
            <w:noWrap w:val="0"/>
            <w:vAlign w:val="center"/>
          </w:tcPr>
          <w:p w14:paraId="18D3DC47">
            <w:pPr>
              <w:jc w:val="center"/>
              <w:rPr>
                <w:rFonts w:hint="default"/>
                <w:color w:val="000000"/>
                <w:kern w:val="0"/>
                <w:sz w:val="21"/>
                <w:szCs w:val="21"/>
                <w:lang w:eastAsia="en-US" w:bidi="en-US"/>
              </w:rPr>
            </w:pPr>
            <w:r>
              <w:rPr>
                <w:b/>
                <w:bCs/>
                <w:color w:val="000000"/>
                <w:kern w:val="0"/>
                <w:sz w:val="21"/>
                <w:szCs w:val="21"/>
                <w:lang w:eastAsia="en-US" w:bidi="en-US"/>
              </w:rPr>
              <w:t>主要指标及技术要求</w:t>
            </w:r>
          </w:p>
        </w:tc>
        <w:tc>
          <w:tcPr>
            <w:tcW w:w="1238" w:type="pct"/>
            <w:tcBorders>
              <w:top w:val="single" w:color="auto" w:sz="4" w:space="0"/>
              <w:left w:val="single" w:color="auto" w:sz="4" w:space="0"/>
              <w:right w:val="single" w:color="auto" w:sz="4" w:space="0"/>
            </w:tcBorders>
            <w:shd w:val="clear" w:color="auto" w:fill="FFFFFF"/>
            <w:noWrap w:val="0"/>
            <w:vAlign w:val="center"/>
          </w:tcPr>
          <w:p w14:paraId="4BCD0264">
            <w:pPr>
              <w:jc w:val="center"/>
              <w:rPr>
                <w:rFonts w:hint="default"/>
                <w:color w:val="000000"/>
                <w:kern w:val="0"/>
                <w:sz w:val="21"/>
                <w:szCs w:val="21"/>
                <w:lang w:eastAsia="en-US" w:bidi="en-US"/>
              </w:rPr>
            </w:pPr>
            <w:r>
              <w:rPr>
                <w:b/>
                <w:bCs/>
                <w:color w:val="000000"/>
                <w:kern w:val="0"/>
                <w:sz w:val="21"/>
                <w:szCs w:val="21"/>
                <w:lang w:eastAsia="en-US" w:bidi="en-US"/>
              </w:rPr>
              <w:t>主要适用范围</w:t>
            </w:r>
          </w:p>
        </w:tc>
      </w:tr>
      <w:tr w14:paraId="60228C28">
        <w:tblPrEx>
          <w:tblCellMar>
            <w:top w:w="0" w:type="dxa"/>
            <w:left w:w="10" w:type="dxa"/>
            <w:bottom w:w="0" w:type="dxa"/>
            <w:right w:w="10" w:type="dxa"/>
          </w:tblCellMar>
        </w:tblPrEx>
        <w:trPr>
          <w:trHeight w:val="1188" w:hRule="exact"/>
          <w:jc w:val="center"/>
        </w:trPr>
        <w:tc>
          <w:tcPr>
            <w:tcW w:w="290" w:type="pct"/>
            <w:tcBorders>
              <w:top w:val="single" w:color="auto" w:sz="4" w:space="0"/>
              <w:left w:val="single" w:color="auto" w:sz="4" w:space="0"/>
            </w:tcBorders>
            <w:shd w:val="clear" w:color="auto" w:fill="FFFFFF"/>
            <w:noWrap w:val="0"/>
            <w:vAlign w:val="center"/>
          </w:tcPr>
          <w:p w14:paraId="7BB4809B">
            <w:pPr>
              <w:jc w:val="center"/>
              <w:rPr>
                <w:rFonts w:hint="default"/>
                <w:color w:val="000000"/>
                <w:kern w:val="0"/>
                <w:sz w:val="21"/>
                <w:szCs w:val="21"/>
                <w:lang w:eastAsia="en-US" w:bidi="en-US"/>
              </w:rPr>
            </w:pPr>
            <w:r>
              <w:rPr>
                <w:color w:val="000000"/>
                <w:kern w:val="0"/>
                <w:sz w:val="21"/>
                <w:szCs w:val="21"/>
                <w:lang w:eastAsia="en-US" w:bidi="en-US"/>
              </w:rPr>
              <w:t>1</w:t>
            </w:r>
          </w:p>
        </w:tc>
        <w:tc>
          <w:tcPr>
            <w:tcW w:w="753" w:type="pct"/>
            <w:tcBorders>
              <w:top w:val="single" w:color="auto" w:sz="4" w:space="0"/>
              <w:left w:val="single" w:color="auto" w:sz="4" w:space="0"/>
            </w:tcBorders>
            <w:shd w:val="clear" w:color="auto" w:fill="FFFFFF"/>
            <w:noWrap w:val="0"/>
            <w:vAlign w:val="center"/>
          </w:tcPr>
          <w:p w14:paraId="0B7FD51B">
            <w:pPr>
              <w:spacing w:line="300" w:lineRule="exact"/>
              <w:jc w:val="center"/>
              <w:rPr>
                <w:rFonts w:hint="default"/>
                <w:color w:val="000000"/>
                <w:kern w:val="0"/>
                <w:sz w:val="21"/>
                <w:szCs w:val="21"/>
                <w:lang w:eastAsia="en-US" w:bidi="en-US"/>
              </w:rPr>
            </w:pPr>
            <w:r>
              <w:rPr>
                <w:color w:val="000000"/>
                <w:kern w:val="0"/>
                <w:sz w:val="21"/>
                <w:szCs w:val="21"/>
                <w:lang w:eastAsia="en-US" w:bidi="en-US"/>
              </w:rPr>
              <w:t>声屏障</w:t>
            </w:r>
          </w:p>
        </w:tc>
        <w:tc>
          <w:tcPr>
            <w:tcW w:w="2717" w:type="pct"/>
            <w:tcBorders>
              <w:top w:val="single" w:color="auto" w:sz="4" w:space="0"/>
              <w:left w:val="single" w:color="auto" w:sz="4" w:space="0"/>
            </w:tcBorders>
            <w:shd w:val="clear" w:color="auto" w:fill="FFFFFF"/>
            <w:noWrap w:val="0"/>
            <w:vAlign w:val="center"/>
          </w:tcPr>
          <w:p w14:paraId="199868B2">
            <w:pPr>
              <w:spacing w:line="300" w:lineRule="exact"/>
              <w:jc w:val="left"/>
              <w:rPr>
                <w:rFonts w:hint="default"/>
                <w:color w:val="000000"/>
                <w:kern w:val="0"/>
                <w:sz w:val="21"/>
                <w:szCs w:val="21"/>
                <w:lang w:bidi="en-US"/>
              </w:rPr>
            </w:pPr>
            <w:r>
              <w:rPr>
                <w:color w:val="000000"/>
                <w:kern w:val="0"/>
                <w:sz w:val="21"/>
                <w:szCs w:val="21"/>
                <w:lang w:bidi="en-US"/>
              </w:rPr>
              <w:t>计权隔声量Rw+Ctr＞25，其余符合《公路声屏障材料技术要求和检测方法》(JT/T646-2005)和《铁路声屏障构件及测试方法》(TB/T3122-2010)相关规定。</w:t>
            </w:r>
          </w:p>
        </w:tc>
        <w:tc>
          <w:tcPr>
            <w:tcW w:w="1238" w:type="pct"/>
            <w:tcBorders>
              <w:top w:val="single" w:color="auto" w:sz="4" w:space="0"/>
              <w:left w:val="single" w:color="auto" w:sz="4" w:space="0"/>
              <w:right w:val="single" w:color="auto" w:sz="4" w:space="0"/>
            </w:tcBorders>
            <w:shd w:val="clear" w:color="auto" w:fill="FFFFFF"/>
            <w:noWrap w:val="0"/>
            <w:vAlign w:val="center"/>
          </w:tcPr>
          <w:p w14:paraId="299DA48E">
            <w:pPr>
              <w:spacing w:line="300" w:lineRule="exact"/>
              <w:rPr>
                <w:rFonts w:hint="default"/>
                <w:color w:val="000000"/>
                <w:kern w:val="0"/>
                <w:sz w:val="21"/>
                <w:szCs w:val="21"/>
                <w:lang w:bidi="en-US"/>
              </w:rPr>
            </w:pPr>
            <w:r>
              <w:rPr>
                <w:color w:val="000000"/>
                <w:kern w:val="0"/>
                <w:sz w:val="21"/>
                <w:szCs w:val="21"/>
                <w:lang w:bidi="en-US"/>
              </w:rPr>
              <w:t>广泛用于公路、轨道交通和冷却塔等设备隔声降噪。</w:t>
            </w:r>
          </w:p>
        </w:tc>
      </w:tr>
      <w:tr w14:paraId="62ADDF80">
        <w:tblPrEx>
          <w:tblCellMar>
            <w:top w:w="0" w:type="dxa"/>
            <w:left w:w="10" w:type="dxa"/>
            <w:bottom w:w="0" w:type="dxa"/>
            <w:right w:w="10" w:type="dxa"/>
          </w:tblCellMar>
        </w:tblPrEx>
        <w:trPr>
          <w:trHeight w:val="1080" w:hRule="exact"/>
          <w:jc w:val="center"/>
        </w:trPr>
        <w:tc>
          <w:tcPr>
            <w:tcW w:w="290" w:type="pct"/>
            <w:tcBorders>
              <w:top w:val="single" w:color="auto" w:sz="4" w:space="0"/>
              <w:left w:val="single" w:color="auto" w:sz="4" w:space="0"/>
            </w:tcBorders>
            <w:shd w:val="clear" w:color="auto" w:fill="FFFFFF"/>
            <w:noWrap w:val="0"/>
            <w:vAlign w:val="center"/>
          </w:tcPr>
          <w:p w14:paraId="295E5775">
            <w:pPr>
              <w:jc w:val="center"/>
              <w:rPr>
                <w:rFonts w:hint="default"/>
                <w:color w:val="000000"/>
                <w:kern w:val="0"/>
                <w:sz w:val="21"/>
                <w:szCs w:val="21"/>
                <w:lang w:eastAsia="en-US" w:bidi="en-US"/>
              </w:rPr>
            </w:pPr>
            <w:r>
              <w:rPr>
                <w:color w:val="000000"/>
                <w:kern w:val="0"/>
                <w:sz w:val="21"/>
                <w:szCs w:val="21"/>
                <w:lang w:eastAsia="en-US" w:bidi="en-US"/>
              </w:rPr>
              <w:t>2</w:t>
            </w:r>
          </w:p>
        </w:tc>
        <w:tc>
          <w:tcPr>
            <w:tcW w:w="753" w:type="pct"/>
            <w:tcBorders>
              <w:top w:val="single" w:color="auto" w:sz="4" w:space="0"/>
              <w:left w:val="single" w:color="auto" w:sz="4" w:space="0"/>
            </w:tcBorders>
            <w:shd w:val="clear" w:color="auto" w:fill="FFFFFF"/>
            <w:noWrap w:val="0"/>
            <w:vAlign w:val="center"/>
          </w:tcPr>
          <w:p w14:paraId="201ADD36">
            <w:pPr>
              <w:spacing w:line="300" w:lineRule="exact"/>
              <w:jc w:val="center"/>
              <w:rPr>
                <w:rFonts w:hint="default"/>
                <w:color w:val="000000"/>
                <w:kern w:val="0"/>
                <w:sz w:val="21"/>
                <w:szCs w:val="21"/>
                <w:lang w:eastAsia="en-US" w:bidi="en-US"/>
              </w:rPr>
            </w:pPr>
            <w:r>
              <w:rPr>
                <w:color w:val="000000"/>
                <w:kern w:val="0"/>
                <w:sz w:val="21"/>
                <w:szCs w:val="21"/>
                <w:lang w:eastAsia="en-US" w:bidi="en-US"/>
              </w:rPr>
              <w:t>消声器</w:t>
            </w:r>
          </w:p>
        </w:tc>
        <w:tc>
          <w:tcPr>
            <w:tcW w:w="2717" w:type="pct"/>
            <w:tcBorders>
              <w:top w:val="single" w:color="auto" w:sz="4" w:space="0"/>
              <w:left w:val="single" w:color="auto" w:sz="4" w:space="0"/>
            </w:tcBorders>
            <w:shd w:val="clear" w:color="auto" w:fill="FFFFFF"/>
            <w:noWrap w:val="0"/>
            <w:vAlign w:val="center"/>
          </w:tcPr>
          <w:p w14:paraId="1482FD34">
            <w:pPr>
              <w:spacing w:line="300" w:lineRule="exact"/>
              <w:jc w:val="left"/>
              <w:rPr>
                <w:rFonts w:hint="default"/>
                <w:color w:val="000000"/>
                <w:kern w:val="0"/>
                <w:sz w:val="21"/>
                <w:szCs w:val="21"/>
                <w:lang w:bidi="en-US"/>
              </w:rPr>
            </w:pPr>
            <w:r>
              <w:rPr>
                <w:color w:val="000000"/>
                <w:kern w:val="0"/>
                <w:sz w:val="21"/>
                <w:szCs w:val="21"/>
                <w:lang w:bidi="en-US"/>
              </w:rPr>
              <w:t>倍频带插入损失算术平均值＞14dB/m，阻力系数＜1.0，符合《环境保护产品技术要求通风消声器》(HJ2523-2012)标准中的具体要求。</w:t>
            </w:r>
          </w:p>
        </w:tc>
        <w:tc>
          <w:tcPr>
            <w:tcW w:w="1238" w:type="pct"/>
            <w:tcBorders>
              <w:top w:val="single" w:color="auto" w:sz="4" w:space="0"/>
              <w:left w:val="single" w:color="auto" w:sz="4" w:space="0"/>
              <w:right w:val="single" w:color="auto" w:sz="4" w:space="0"/>
            </w:tcBorders>
            <w:shd w:val="clear" w:color="auto" w:fill="FFFFFF"/>
            <w:noWrap w:val="0"/>
            <w:vAlign w:val="center"/>
          </w:tcPr>
          <w:p w14:paraId="56DCEDB4">
            <w:pPr>
              <w:spacing w:line="300" w:lineRule="exact"/>
              <w:rPr>
                <w:rFonts w:hint="default"/>
                <w:color w:val="000000"/>
                <w:kern w:val="0"/>
                <w:sz w:val="21"/>
                <w:szCs w:val="21"/>
                <w:lang w:bidi="en-US"/>
              </w:rPr>
            </w:pPr>
            <w:r>
              <w:rPr>
                <w:color w:val="000000"/>
                <w:kern w:val="0"/>
                <w:sz w:val="21"/>
                <w:szCs w:val="21"/>
                <w:lang w:bidi="en-US"/>
              </w:rPr>
              <w:t>通风空调系统管道、机房进出风口、空气动力性设备等的消声降噪。</w:t>
            </w:r>
          </w:p>
        </w:tc>
      </w:tr>
      <w:tr w14:paraId="13502403">
        <w:tblPrEx>
          <w:tblCellMar>
            <w:top w:w="0" w:type="dxa"/>
            <w:left w:w="10" w:type="dxa"/>
            <w:bottom w:w="0" w:type="dxa"/>
            <w:right w:w="10" w:type="dxa"/>
          </w:tblCellMar>
        </w:tblPrEx>
        <w:trPr>
          <w:trHeight w:val="1932" w:hRule="exact"/>
          <w:jc w:val="center"/>
        </w:trPr>
        <w:tc>
          <w:tcPr>
            <w:tcW w:w="290" w:type="pct"/>
            <w:tcBorders>
              <w:top w:val="single" w:color="auto" w:sz="4" w:space="0"/>
              <w:left w:val="single" w:color="auto" w:sz="4" w:space="0"/>
              <w:bottom w:val="single" w:color="auto" w:sz="4" w:space="0"/>
            </w:tcBorders>
            <w:shd w:val="clear" w:color="auto" w:fill="FFFFFF"/>
            <w:noWrap w:val="0"/>
            <w:vAlign w:val="center"/>
          </w:tcPr>
          <w:p w14:paraId="227CF9BF">
            <w:pPr>
              <w:jc w:val="center"/>
              <w:rPr>
                <w:rFonts w:hint="default"/>
                <w:color w:val="000000"/>
                <w:kern w:val="0"/>
                <w:sz w:val="21"/>
                <w:szCs w:val="21"/>
                <w:lang w:eastAsia="en-US" w:bidi="en-US"/>
              </w:rPr>
            </w:pPr>
            <w:r>
              <w:rPr>
                <w:color w:val="000000"/>
                <w:kern w:val="0"/>
                <w:sz w:val="21"/>
                <w:szCs w:val="21"/>
                <w:lang w:eastAsia="en-US" w:bidi="en-US"/>
              </w:rPr>
              <w:t>3</w:t>
            </w:r>
          </w:p>
        </w:tc>
        <w:tc>
          <w:tcPr>
            <w:tcW w:w="753" w:type="pct"/>
            <w:tcBorders>
              <w:top w:val="single" w:color="auto" w:sz="4" w:space="0"/>
              <w:left w:val="single" w:color="auto" w:sz="4" w:space="0"/>
              <w:bottom w:val="single" w:color="auto" w:sz="4" w:space="0"/>
            </w:tcBorders>
            <w:shd w:val="clear" w:color="auto" w:fill="FFFFFF"/>
            <w:noWrap w:val="0"/>
            <w:vAlign w:val="center"/>
          </w:tcPr>
          <w:p w14:paraId="201EE506">
            <w:pPr>
              <w:spacing w:line="300" w:lineRule="exact"/>
              <w:jc w:val="center"/>
              <w:rPr>
                <w:rFonts w:hint="default"/>
                <w:color w:val="000000"/>
                <w:kern w:val="0"/>
                <w:sz w:val="21"/>
                <w:szCs w:val="21"/>
                <w:lang w:eastAsia="en-US" w:bidi="en-US"/>
              </w:rPr>
            </w:pPr>
            <w:r>
              <w:rPr>
                <w:color w:val="000000"/>
                <w:kern w:val="0"/>
                <w:sz w:val="21"/>
                <w:szCs w:val="21"/>
                <w:lang w:eastAsia="en-US" w:bidi="en-US"/>
              </w:rPr>
              <w:t>阻尼弹簧隔振器</w:t>
            </w:r>
          </w:p>
        </w:tc>
        <w:tc>
          <w:tcPr>
            <w:tcW w:w="2717" w:type="pct"/>
            <w:tcBorders>
              <w:top w:val="single" w:color="auto" w:sz="4" w:space="0"/>
              <w:left w:val="single" w:color="auto" w:sz="4" w:space="0"/>
              <w:bottom w:val="single" w:color="auto" w:sz="4" w:space="0"/>
            </w:tcBorders>
            <w:shd w:val="clear" w:color="auto" w:fill="FFFFFF"/>
            <w:noWrap w:val="0"/>
            <w:vAlign w:val="center"/>
          </w:tcPr>
          <w:p w14:paraId="5EF05A13">
            <w:pPr>
              <w:spacing w:line="300" w:lineRule="exact"/>
              <w:jc w:val="left"/>
              <w:rPr>
                <w:rFonts w:hint="default"/>
                <w:color w:val="000000"/>
                <w:kern w:val="0"/>
                <w:sz w:val="21"/>
                <w:szCs w:val="21"/>
                <w:lang w:bidi="en-US"/>
              </w:rPr>
            </w:pPr>
            <w:r>
              <w:rPr>
                <w:color w:val="000000"/>
                <w:kern w:val="0"/>
                <w:sz w:val="21"/>
                <w:szCs w:val="21"/>
                <w:lang w:bidi="en-US"/>
              </w:rPr>
              <w:t>轴向静刚度应在设计值±10%以内，阻尼比＞0.05，其余符合《环境保护产品技术要求阻尼弹簧隔振器》(HJ/T381-2007)相关规定。</w:t>
            </w:r>
          </w:p>
        </w:tc>
        <w:tc>
          <w:tcPr>
            <w:tcW w:w="1238"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74E20707">
            <w:pPr>
              <w:spacing w:line="300" w:lineRule="exact"/>
              <w:rPr>
                <w:rFonts w:hint="default"/>
                <w:color w:val="000000"/>
                <w:kern w:val="0"/>
                <w:sz w:val="21"/>
                <w:szCs w:val="21"/>
                <w:lang w:bidi="en-US"/>
              </w:rPr>
            </w:pPr>
            <w:r>
              <w:rPr>
                <w:color w:val="000000"/>
                <w:kern w:val="0"/>
                <w:sz w:val="21"/>
                <w:szCs w:val="21"/>
                <w:lang w:bidi="en-US"/>
              </w:rPr>
              <w:t>具有较大的承载能力和较低的系统固有频率，广泛用于各类机器设备的顶级隔振(有时需附加大型隔振台座)。</w:t>
            </w:r>
          </w:p>
        </w:tc>
      </w:tr>
    </w:tbl>
    <w:p w14:paraId="579A09C1">
      <w:pPr>
        <w:spacing w:line="1" w:lineRule="exact"/>
        <w:jc w:val="left"/>
        <w:rPr>
          <w:rFonts w:hint="default" w:ascii="等线" w:hAnsi="等线" w:eastAsia="等线" w:cs="等线"/>
          <w:color w:val="000000"/>
          <w:kern w:val="0"/>
          <w:sz w:val="2"/>
          <w:szCs w:val="2"/>
          <w:lang w:bidi="en-US"/>
        </w:rPr>
      </w:pPr>
      <w:r>
        <w:rPr>
          <w:rFonts w:ascii="等线" w:hAnsi="等线" w:eastAsia="等线" w:cs="等线"/>
          <w:color w:val="000000"/>
          <w:kern w:val="0"/>
          <w:sz w:val="24"/>
          <w:lang w:bidi="en-US"/>
        </w:rPr>
        <w:br w:type="page"/>
      </w:r>
    </w:p>
    <w:p w14:paraId="7B882334">
      <w:pPr>
        <w:spacing w:after="380"/>
        <w:ind w:firstLine="320" w:firstLineChars="100"/>
        <w:jc w:val="left"/>
        <w:rPr>
          <w:rFonts w:hint="default" w:ascii="楷体_GB2312" w:hAnsi="楷体_GB2312" w:eastAsia="楷体_GB2312" w:cs="楷体_GB2312"/>
          <w:b w:val="0"/>
          <w:bCs w:val="0"/>
          <w:color w:val="000000"/>
          <w:kern w:val="0"/>
          <w:sz w:val="32"/>
          <w:szCs w:val="48"/>
          <w:lang w:bidi="en-US"/>
        </w:rPr>
      </w:pPr>
      <w:bookmarkStart w:id="113" w:name="_Toc667_WPSOffice_Level2"/>
      <w:r>
        <w:rPr>
          <w:rFonts w:ascii="楷体_GB2312" w:hAnsi="楷体_GB2312" w:eastAsia="楷体_GB2312" w:cs="楷体_GB2312"/>
          <w:b w:val="0"/>
          <w:bCs w:val="0"/>
          <w:color w:val="000000"/>
          <w:kern w:val="0"/>
          <w:sz w:val="32"/>
          <w:szCs w:val="48"/>
          <w:lang w:bidi="en-US"/>
        </w:rPr>
        <w:t>(六)土壤污染防治设备</w:t>
      </w:r>
      <w:bookmarkEnd w:id="113"/>
    </w:p>
    <w:tbl>
      <w:tblPr>
        <w:tblStyle w:val="3"/>
        <w:tblW w:w="4998" w:type="pct"/>
        <w:jc w:val="center"/>
        <w:tblLayout w:type="autofit"/>
        <w:tblCellMar>
          <w:top w:w="0" w:type="dxa"/>
          <w:left w:w="10" w:type="dxa"/>
          <w:bottom w:w="0" w:type="dxa"/>
          <w:right w:w="10" w:type="dxa"/>
        </w:tblCellMar>
      </w:tblPr>
      <w:tblGrid>
        <w:gridCol w:w="420"/>
        <w:gridCol w:w="1202"/>
        <w:gridCol w:w="4504"/>
        <w:gridCol w:w="2196"/>
      </w:tblGrid>
      <w:tr w14:paraId="426878C0">
        <w:tblPrEx>
          <w:tblCellMar>
            <w:top w:w="0" w:type="dxa"/>
            <w:left w:w="10" w:type="dxa"/>
            <w:bottom w:w="0" w:type="dxa"/>
            <w:right w:w="10" w:type="dxa"/>
          </w:tblCellMar>
        </w:tblPrEx>
        <w:trPr>
          <w:trHeight w:val="562" w:hRule="exact"/>
          <w:jc w:val="center"/>
        </w:trPr>
        <w:tc>
          <w:tcPr>
            <w:tcW w:w="252" w:type="pct"/>
            <w:tcBorders>
              <w:top w:val="single" w:color="auto" w:sz="4" w:space="0"/>
              <w:left w:val="single" w:color="auto" w:sz="4" w:space="0"/>
            </w:tcBorders>
            <w:shd w:val="clear" w:color="auto" w:fill="FFFFFF"/>
            <w:noWrap w:val="0"/>
            <w:vAlign w:val="center"/>
          </w:tcPr>
          <w:p w14:paraId="4101CA9E">
            <w:pPr>
              <w:jc w:val="center"/>
              <w:rPr>
                <w:rFonts w:hint="default"/>
                <w:color w:val="000000"/>
                <w:kern w:val="0"/>
                <w:sz w:val="21"/>
                <w:szCs w:val="21"/>
                <w:lang w:eastAsia="en-US" w:bidi="en-US"/>
              </w:rPr>
            </w:pPr>
            <w:r>
              <w:rPr>
                <w:b/>
                <w:bCs/>
                <w:color w:val="000000"/>
                <w:kern w:val="0"/>
                <w:sz w:val="21"/>
                <w:szCs w:val="21"/>
                <w:lang w:eastAsia="en-US" w:bidi="en-US"/>
              </w:rPr>
              <w:t>序号</w:t>
            </w:r>
          </w:p>
        </w:tc>
        <w:tc>
          <w:tcPr>
            <w:tcW w:w="722" w:type="pct"/>
            <w:tcBorders>
              <w:top w:val="single" w:color="auto" w:sz="4" w:space="0"/>
              <w:left w:val="single" w:color="auto" w:sz="4" w:space="0"/>
            </w:tcBorders>
            <w:shd w:val="clear" w:color="auto" w:fill="FFFFFF"/>
            <w:noWrap w:val="0"/>
            <w:vAlign w:val="center"/>
          </w:tcPr>
          <w:p w14:paraId="38B1EF70">
            <w:pPr>
              <w:jc w:val="center"/>
              <w:rPr>
                <w:rFonts w:hint="default"/>
                <w:color w:val="000000"/>
                <w:kern w:val="0"/>
                <w:sz w:val="21"/>
                <w:szCs w:val="21"/>
                <w:lang w:eastAsia="en-US" w:bidi="en-US"/>
              </w:rPr>
            </w:pPr>
            <w:r>
              <w:rPr>
                <w:b/>
                <w:bCs/>
                <w:color w:val="000000"/>
                <w:kern w:val="0"/>
                <w:sz w:val="21"/>
                <w:szCs w:val="21"/>
                <w:lang w:eastAsia="en-US" w:bidi="en-US"/>
              </w:rPr>
              <w:t>设备名称</w:t>
            </w:r>
          </w:p>
        </w:tc>
        <w:tc>
          <w:tcPr>
            <w:tcW w:w="2705" w:type="pct"/>
            <w:tcBorders>
              <w:top w:val="single" w:color="auto" w:sz="4" w:space="0"/>
              <w:left w:val="single" w:color="auto" w:sz="4" w:space="0"/>
            </w:tcBorders>
            <w:shd w:val="clear" w:color="auto" w:fill="FFFFFF"/>
            <w:noWrap w:val="0"/>
            <w:vAlign w:val="center"/>
          </w:tcPr>
          <w:p w14:paraId="3F617337">
            <w:pPr>
              <w:jc w:val="center"/>
              <w:rPr>
                <w:rFonts w:hint="default"/>
                <w:color w:val="000000"/>
                <w:kern w:val="0"/>
                <w:sz w:val="21"/>
                <w:szCs w:val="21"/>
                <w:lang w:eastAsia="en-US" w:bidi="en-US"/>
              </w:rPr>
            </w:pPr>
            <w:r>
              <w:rPr>
                <w:b/>
                <w:bCs/>
                <w:color w:val="000000"/>
                <w:kern w:val="0"/>
                <w:sz w:val="21"/>
                <w:szCs w:val="21"/>
                <w:lang w:eastAsia="en-US" w:bidi="en-US"/>
              </w:rPr>
              <w:t>主要指标及技术要求</w:t>
            </w:r>
          </w:p>
        </w:tc>
        <w:tc>
          <w:tcPr>
            <w:tcW w:w="1319" w:type="pct"/>
            <w:tcBorders>
              <w:top w:val="single" w:color="auto" w:sz="4" w:space="0"/>
              <w:left w:val="single" w:color="auto" w:sz="4" w:space="0"/>
              <w:right w:val="single" w:color="auto" w:sz="4" w:space="0"/>
            </w:tcBorders>
            <w:shd w:val="clear" w:color="auto" w:fill="FFFFFF"/>
            <w:noWrap w:val="0"/>
            <w:vAlign w:val="center"/>
          </w:tcPr>
          <w:p w14:paraId="25ABF1DC">
            <w:pPr>
              <w:jc w:val="center"/>
              <w:rPr>
                <w:rFonts w:hint="default"/>
                <w:color w:val="000000"/>
                <w:kern w:val="0"/>
                <w:sz w:val="21"/>
                <w:szCs w:val="21"/>
                <w:lang w:eastAsia="en-US" w:bidi="en-US"/>
              </w:rPr>
            </w:pPr>
            <w:r>
              <w:rPr>
                <w:b/>
                <w:bCs/>
                <w:color w:val="000000"/>
                <w:kern w:val="0"/>
                <w:sz w:val="21"/>
                <w:szCs w:val="21"/>
                <w:lang w:eastAsia="en-US" w:bidi="en-US"/>
              </w:rPr>
              <w:t>主要适用范围</w:t>
            </w:r>
          </w:p>
        </w:tc>
      </w:tr>
      <w:tr w14:paraId="5BD3EEFC">
        <w:tblPrEx>
          <w:tblCellMar>
            <w:top w:w="0" w:type="dxa"/>
            <w:left w:w="10" w:type="dxa"/>
            <w:bottom w:w="0" w:type="dxa"/>
            <w:right w:w="10" w:type="dxa"/>
          </w:tblCellMar>
        </w:tblPrEx>
        <w:trPr>
          <w:trHeight w:val="691" w:hRule="exact"/>
          <w:jc w:val="center"/>
        </w:trPr>
        <w:tc>
          <w:tcPr>
            <w:tcW w:w="252" w:type="pct"/>
            <w:tcBorders>
              <w:top w:val="single" w:color="auto" w:sz="4" w:space="0"/>
              <w:left w:val="single" w:color="auto" w:sz="4" w:space="0"/>
            </w:tcBorders>
            <w:shd w:val="clear" w:color="auto" w:fill="FFFFFF"/>
            <w:noWrap w:val="0"/>
            <w:vAlign w:val="center"/>
          </w:tcPr>
          <w:p w14:paraId="4EB44F50">
            <w:pPr>
              <w:spacing w:line="300" w:lineRule="exact"/>
              <w:jc w:val="center"/>
              <w:rPr>
                <w:rFonts w:hint="default"/>
                <w:color w:val="000000"/>
                <w:kern w:val="0"/>
                <w:sz w:val="21"/>
                <w:szCs w:val="21"/>
                <w:lang w:eastAsia="en-US" w:bidi="en-US"/>
              </w:rPr>
            </w:pPr>
            <w:r>
              <w:rPr>
                <w:color w:val="000000"/>
                <w:kern w:val="0"/>
                <w:sz w:val="21"/>
                <w:szCs w:val="21"/>
                <w:lang w:eastAsia="en-US" w:bidi="en-US"/>
              </w:rPr>
              <w:t>1</w:t>
            </w:r>
          </w:p>
        </w:tc>
        <w:tc>
          <w:tcPr>
            <w:tcW w:w="722" w:type="pct"/>
            <w:tcBorders>
              <w:top w:val="single" w:color="auto" w:sz="4" w:space="0"/>
              <w:left w:val="single" w:color="auto" w:sz="4" w:space="0"/>
            </w:tcBorders>
            <w:shd w:val="clear" w:color="auto" w:fill="FFFFFF"/>
            <w:noWrap w:val="0"/>
            <w:vAlign w:val="center"/>
          </w:tcPr>
          <w:p w14:paraId="5C42BC9E">
            <w:pPr>
              <w:spacing w:line="300" w:lineRule="exact"/>
              <w:jc w:val="center"/>
              <w:rPr>
                <w:rFonts w:hint="default"/>
                <w:color w:val="000000"/>
                <w:kern w:val="0"/>
                <w:sz w:val="21"/>
                <w:szCs w:val="21"/>
                <w:lang w:eastAsia="en-US" w:bidi="en-US"/>
              </w:rPr>
            </w:pPr>
            <w:r>
              <w:rPr>
                <w:color w:val="000000"/>
                <w:kern w:val="0"/>
                <w:sz w:val="21"/>
                <w:szCs w:val="21"/>
                <w:lang w:eastAsia="en-US" w:bidi="en-US"/>
              </w:rPr>
              <w:t>破碎筛分一体机</w:t>
            </w:r>
          </w:p>
        </w:tc>
        <w:tc>
          <w:tcPr>
            <w:tcW w:w="2705" w:type="pct"/>
            <w:tcBorders>
              <w:top w:val="single" w:color="auto" w:sz="4" w:space="0"/>
              <w:left w:val="single" w:color="auto" w:sz="4" w:space="0"/>
            </w:tcBorders>
            <w:shd w:val="clear" w:color="auto" w:fill="FFFFFF"/>
            <w:noWrap w:val="0"/>
            <w:vAlign w:val="center"/>
          </w:tcPr>
          <w:p w14:paraId="7C57D18D">
            <w:pPr>
              <w:spacing w:line="300" w:lineRule="exact"/>
              <w:rPr>
                <w:rFonts w:hint="default"/>
                <w:color w:val="000000"/>
                <w:kern w:val="0"/>
                <w:sz w:val="21"/>
                <w:szCs w:val="21"/>
                <w:lang w:bidi="en-US"/>
              </w:rPr>
            </w:pPr>
            <w:r>
              <w:rPr>
                <w:color w:val="000000"/>
                <w:kern w:val="0"/>
                <w:sz w:val="21"/>
                <w:szCs w:val="21"/>
                <w:lang w:bidi="en-US"/>
              </w:rPr>
              <w:t>处理能力为20～100t/h；颚式破碎机破碎粒径＜50mm；反击式破碎机破碎粒径＜50mm。</w:t>
            </w:r>
          </w:p>
        </w:tc>
        <w:tc>
          <w:tcPr>
            <w:tcW w:w="1319" w:type="pct"/>
            <w:tcBorders>
              <w:top w:val="single" w:color="auto" w:sz="4" w:space="0"/>
              <w:left w:val="single" w:color="auto" w:sz="4" w:space="0"/>
              <w:right w:val="single" w:color="auto" w:sz="4" w:space="0"/>
            </w:tcBorders>
            <w:shd w:val="clear" w:color="auto" w:fill="FFFFFF"/>
            <w:noWrap w:val="0"/>
            <w:vAlign w:val="center"/>
          </w:tcPr>
          <w:p w14:paraId="10365EB4">
            <w:pPr>
              <w:spacing w:line="300" w:lineRule="exact"/>
              <w:rPr>
                <w:rFonts w:hint="default"/>
                <w:color w:val="000000"/>
                <w:kern w:val="0"/>
                <w:sz w:val="21"/>
                <w:szCs w:val="21"/>
                <w:lang w:bidi="en-US"/>
              </w:rPr>
            </w:pPr>
            <w:r>
              <w:rPr>
                <w:color w:val="000000"/>
                <w:kern w:val="0"/>
                <w:sz w:val="21"/>
                <w:szCs w:val="21"/>
                <w:lang w:bidi="en-US"/>
              </w:rPr>
              <w:t>适用于异位土壤修复技术的前处理。</w:t>
            </w:r>
          </w:p>
        </w:tc>
      </w:tr>
      <w:tr w14:paraId="2F4F06DB">
        <w:tblPrEx>
          <w:tblCellMar>
            <w:top w:w="0" w:type="dxa"/>
            <w:left w:w="10" w:type="dxa"/>
            <w:bottom w:w="0" w:type="dxa"/>
            <w:right w:w="10" w:type="dxa"/>
          </w:tblCellMar>
        </w:tblPrEx>
        <w:trPr>
          <w:trHeight w:val="1393" w:hRule="exact"/>
          <w:jc w:val="center"/>
        </w:trPr>
        <w:tc>
          <w:tcPr>
            <w:tcW w:w="252" w:type="pct"/>
            <w:tcBorders>
              <w:top w:val="single" w:color="auto" w:sz="4" w:space="0"/>
              <w:left w:val="single" w:color="auto" w:sz="4" w:space="0"/>
            </w:tcBorders>
            <w:shd w:val="clear" w:color="auto" w:fill="FFFFFF"/>
            <w:noWrap w:val="0"/>
            <w:vAlign w:val="center"/>
          </w:tcPr>
          <w:p w14:paraId="3BB257FC">
            <w:pPr>
              <w:spacing w:line="300" w:lineRule="exact"/>
              <w:jc w:val="center"/>
              <w:rPr>
                <w:rFonts w:hint="default"/>
                <w:color w:val="000000"/>
                <w:kern w:val="0"/>
                <w:sz w:val="21"/>
                <w:szCs w:val="21"/>
                <w:lang w:eastAsia="en-US" w:bidi="en-US"/>
              </w:rPr>
            </w:pPr>
            <w:r>
              <w:rPr>
                <w:color w:val="000000"/>
                <w:kern w:val="0"/>
                <w:sz w:val="21"/>
                <w:szCs w:val="21"/>
                <w:lang w:eastAsia="en-US" w:bidi="en-US"/>
              </w:rPr>
              <w:t>2</w:t>
            </w:r>
          </w:p>
        </w:tc>
        <w:tc>
          <w:tcPr>
            <w:tcW w:w="722" w:type="pct"/>
            <w:tcBorders>
              <w:top w:val="single" w:color="auto" w:sz="4" w:space="0"/>
              <w:left w:val="single" w:color="auto" w:sz="4" w:space="0"/>
            </w:tcBorders>
            <w:shd w:val="clear" w:color="auto" w:fill="FFFFFF"/>
            <w:noWrap w:val="0"/>
            <w:vAlign w:val="center"/>
          </w:tcPr>
          <w:p w14:paraId="6624CC90">
            <w:pPr>
              <w:spacing w:line="300" w:lineRule="exact"/>
              <w:jc w:val="center"/>
              <w:rPr>
                <w:rFonts w:hint="default"/>
                <w:color w:val="000000"/>
                <w:kern w:val="0"/>
                <w:sz w:val="21"/>
                <w:szCs w:val="21"/>
                <w:lang w:bidi="en-US"/>
              </w:rPr>
            </w:pPr>
            <w:r>
              <w:rPr>
                <w:color w:val="000000"/>
                <w:kern w:val="0"/>
                <w:sz w:val="21"/>
                <w:szCs w:val="21"/>
                <w:lang w:bidi="en-US"/>
              </w:rPr>
              <w:t>振动筛（最小分级粒径＜10mm）</w:t>
            </w:r>
          </w:p>
        </w:tc>
        <w:tc>
          <w:tcPr>
            <w:tcW w:w="2705" w:type="pct"/>
            <w:tcBorders>
              <w:top w:val="single" w:color="auto" w:sz="4" w:space="0"/>
              <w:left w:val="single" w:color="auto" w:sz="4" w:space="0"/>
            </w:tcBorders>
            <w:shd w:val="clear" w:color="auto" w:fill="FFFFFF"/>
            <w:noWrap w:val="0"/>
            <w:vAlign w:val="center"/>
          </w:tcPr>
          <w:p w14:paraId="0ED1687D">
            <w:pPr>
              <w:spacing w:line="300" w:lineRule="exact"/>
              <w:rPr>
                <w:rFonts w:hint="default"/>
                <w:color w:val="000000"/>
                <w:kern w:val="0"/>
                <w:sz w:val="21"/>
                <w:szCs w:val="21"/>
                <w:lang w:bidi="en-US"/>
              </w:rPr>
            </w:pPr>
            <w:r>
              <w:rPr>
                <w:color w:val="000000"/>
                <w:kern w:val="0"/>
                <w:sz w:val="21"/>
                <w:szCs w:val="21"/>
                <w:lang w:bidi="en-US"/>
              </w:rPr>
              <w:t>适用于异位土壤修复技术的前处理。</w:t>
            </w:r>
          </w:p>
        </w:tc>
        <w:tc>
          <w:tcPr>
            <w:tcW w:w="1319" w:type="pct"/>
            <w:tcBorders>
              <w:top w:val="single" w:color="auto" w:sz="4" w:space="0"/>
              <w:left w:val="single" w:color="auto" w:sz="4" w:space="0"/>
              <w:right w:val="single" w:color="auto" w:sz="4" w:space="0"/>
            </w:tcBorders>
            <w:shd w:val="clear" w:color="auto" w:fill="FFFFFF"/>
            <w:noWrap w:val="0"/>
            <w:vAlign w:val="center"/>
          </w:tcPr>
          <w:p w14:paraId="4525D0E1">
            <w:pPr>
              <w:spacing w:line="300" w:lineRule="exact"/>
              <w:rPr>
                <w:rFonts w:hint="default"/>
                <w:color w:val="000000"/>
                <w:kern w:val="0"/>
                <w:sz w:val="21"/>
                <w:szCs w:val="21"/>
                <w:lang w:bidi="en-US"/>
              </w:rPr>
            </w:pPr>
            <w:r>
              <w:rPr>
                <w:color w:val="000000"/>
                <w:kern w:val="0"/>
                <w:sz w:val="21"/>
                <w:szCs w:val="21"/>
                <w:lang w:bidi="en-US"/>
              </w:rPr>
              <w:t>适用于挥发性、半挥发性有机污染的土壤修复场地处理。</w:t>
            </w:r>
          </w:p>
        </w:tc>
      </w:tr>
      <w:tr w14:paraId="3913E154">
        <w:tblPrEx>
          <w:tblCellMar>
            <w:top w:w="0" w:type="dxa"/>
            <w:left w:w="10" w:type="dxa"/>
            <w:bottom w:w="0" w:type="dxa"/>
            <w:right w:w="10" w:type="dxa"/>
          </w:tblCellMar>
        </w:tblPrEx>
        <w:trPr>
          <w:trHeight w:val="1476" w:hRule="exact"/>
          <w:jc w:val="center"/>
        </w:trPr>
        <w:tc>
          <w:tcPr>
            <w:tcW w:w="252" w:type="pct"/>
            <w:tcBorders>
              <w:top w:val="single" w:color="auto" w:sz="4" w:space="0"/>
              <w:left w:val="single" w:color="auto" w:sz="4" w:space="0"/>
            </w:tcBorders>
            <w:shd w:val="clear" w:color="auto" w:fill="FFFFFF"/>
            <w:noWrap w:val="0"/>
            <w:vAlign w:val="center"/>
          </w:tcPr>
          <w:p w14:paraId="351D39D3">
            <w:pPr>
              <w:spacing w:line="300" w:lineRule="exact"/>
              <w:jc w:val="center"/>
              <w:rPr>
                <w:rFonts w:hint="default"/>
                <w:color w:val="000000"/>
                <w:kern w:val="0"/>
                <w:sz w:val="21"/>
                <w:szCs w:val="21"/>
                <w:lang w:eastAsia="en-US" w:bidi="en-US"/>
              </w:rPr>
            </w:pPr>
            <w:r>
              <w:rPr>
                <w:color w:val="000000"/>
                <w:kern w:val="0"/>
                <w:sz w:val="21"/>
                <w:szCs w:val="21"/>
                <w:lang w:eastAsia="en-US" w:bidi="en-US"/>
              </w:rPr>
              <w:t>3</w:t>
            </w:r>
          </w:p>
        </w:tc>
        <w:tc>
          <w:tcPr>
            <w:tcW w:w="722" w:type="pct"/>
            <w:tcBorders>
              <w:top w:val="single" w:color="auto" w:sz="4" w:space="0"/>
              <w:left w:val="single" w:color="auto" w:sz="4" w:space="0"/>
            </w:tcBorders>
            <w:shd w:val="clear" w:color="auto" w:fill="FFFFFF"/>
            <w:noWrap w:val="0"/>
            <w:vAlign w:val="center"/>
          </w:tcPr>
          <w:p w14:paraId="0E4C6FA6">
            <w:pPr>
              <w:spacing w:line="300" w:lineRule="exact"/>
              <w:jc w:val="center"/>
              <w:rPr>
                <w:rFonts w:hint="default"/>
                <w:color w:val="000000"/>
                <w:kern w:val="0"/>
                <w:sz w:val="21"/>
                <w:szCs w:val="21"/>
                <w:lang w:eastAsia="en-US" w:bidi="en-US"/>
              </w:rPr>
            </w:pPr>
            <w:r>
              <w:rPr>
                <w:color w:val="000000"/>
                <w:kern w:val="0"/>
                <w:sz w:val="21"/>
                <w:szCs w:val="21"/>
                <w:lang w:eastAsia="en-US" w:bidi="en-US"/>
              </w:rPr>
              <w:t>气味抑制设备</w:t>
            </w:r>
          </w:p>
        </w:tc>
        <w:tc>
          <w:tcPr>
            <w:tcW w:w="2705" w:type="pct"/>
            <w:tcBorders>
              <w:top w:val="single" w:color="auto" w:sz="4" w:space="0"/>
              <w:left w:val="single" w:color="auto" w:sz="4" w:space="0"/>
            </w:tcBorders>
            <w:shd w:val="clear" w:color="auto" w:fill="FFFFFF"/>
            <w:noWrap w:val="0"/>
            <w:vAlign w:val="center"/>
          </w:tcPr>
          <w:p w14:paraId="1825B9B4">
            <w:pPr>
              <w:spacing w:line="300" w:lineRule="exact"/>
              <w:rPr>
                <w:rFonts w:hint="default"/>
                <w:color w:val="000000"/>
                <w:kern w:val="0"/>
                <w:sz w:val="21"/>
                <w:szCs w:val="21"/>
                <w:lang w:bidi="en-US"/>
              </w:rPr>
            </w:pPr>
            <w:r>
              <w:rPr>
                <w:color w:val="000000"/>
                <w:kern w:val="0"/>
                <w:sz w:val="21"/>
                <w:szCs w:val="21"/>
                <w:lang w:bidi="en-US"/>
              </w:rPr>
              <w:t>药剂喷洒量＞80L/min；发泡倍数100倍以上；喷洒距离10～30m；药剂成分：绿色环保的表面活性剂，可生物降解，自然降解时间＜3月；每百平方米原浆药剂使用量＜50L。</w:t>
            </w:r>
          </w:p>
        </w:tc>
        <w:tc>
          <w:tcPr>
            <w:tcW w:w="1319" w:type="pct"/>
            <w:tcBorders>
              <w:top w:val="single" w:color="auto" w:sz="4" w:space="0"/>
              <w:left w:val="single" w:color="auto" w:sz="4" w:space="0"/>
              <w:right w:val="single" w:color="auto" w:sz="4" w:space="0"/>
            </w:tcBorders>
            <w:shd w:val="clear" w:color="auto" w:fill="FFFFFF"/>
            <w:noWrap w:val="0"/>
            <w:vAlign w:val="center"/>
          </w:tcPr>
          <w:p w14:paraId="4746B07D">
            <w:pPr>
              <w:spacing w:line="300" w:lineRule="exact"/>
              <w:rPr>
                <w:rFonts w:hint="default"/>
                <w:color w:val="000000"/>
                <w:kern w:val="0"/>
                <w:sz w:val="21"/>
                <w:szCs w:val="21"/>
                <w:lang w:bidi="en-US"/>
              </w:rPr>
            </w:pPr>
            <w:r>
              <w:rPr>
                <w:color w:val="000000"/>
                <w:kern w:val="0"/>
                <w:sz w:val="21"/>
                <w:szCs w:val="21"/>
                <w:lang w:bidi="en-US"/>
              </w:rPr>
              <w:t>适用于挥发性、半挥发性有机污染的土壤修复场地处理。</w:t>
            </w:r>
          </w:p>
        </w:tc>
      </w:tr>
      <w:tr w14:paraId="22066B80">
        <w:tblPrEx>
          <w:tblCellMar>
            <w:top w:w="0" w:type="dxa"/>
            <w:left w:w="10" w:type="dxa"/>
            <w:bottom w:w="0" w:type="dxa"/>
            <w:right w:w="10" w:type="dxa"/>
          </w:tblCellMar>
        </w:tblPrEx>
        <w:trPr>
          <w:trHeight w:val="2404" w:hRule="exact"/>
          <w:jc w:val="center"/>
        </w:trPr>
        <w:tc>
          <w:tcPr>
            <w:tcW w:w="252" w:type="pct"/>
            <w:tcBorders>
              <w:top w:val="single" w:color="auto" w:sz="4" w:space="0"/>
              <w:left w:val="single" w:color="auto" w:sz="4" w:space="0"/>
            </w:tcBorders>
            <w:shd w:val="clear" w:color="auto" w:fill="FFFFFF"/>
            <w:noWrap w:val="0"/>
            <w:vAlign w:val="center"/>
          </w:tcPr>
          <w:p w14:paraId="4FCB5155">
            <w:pPr>
              <w:spacing w:line="300" w:lineRule="exact"/>
              <w:jc w:val="center"/>
              <w:rPr>
                <w:rFonts w:hint="default"/>
                <w:color w:val="000000"/>
                <w:kern w:val="0"/>
                <w:sz w:val="21"/>
                <w:szCs w:val="21"/>
                <w:lang w:eastAsia="en-US" w:bidi="en-US"/>
              </w:rPr>
            </w:pPr>
            <w:r>
              <w:rPr>
                <w:color w:val="000000"/>
                <w:kern w:val="0"/>
                <w:sz w:val="21"/>
                <w:szCs w:val="21"/>
                <w:lang w:eastAsia="en-US" w:bidi="en-US"/>
              </w:rPr>
              <w:t>4</w:t>
            </w:r>
          </w:p>
        </w:tc>
        <w:tc>
          <w:tcPr>
            <w:tcW w:w="722" w:type="pct"/>
            <w:tcBorders>
              <w:top w:val="single" w:color="auto" w:sz="4" w:space="0"/>
              <w:left w:val="single" w:color="auto" w:sz="4" w:space="0"/>
            </w:tcBorders>
            <w:shd w:val="clear" w:color="auto" w:fill="FFFFFF"/>
            <w:noWrap w:val="0"/>
            <w:vAlign w:val="center"/>
          </w:tcPr>
          <w:p w14:paraId="5F353E35">
            <w:pPr>
              <w:spacing w:line="300" w:lineRule="exact"/>
              <w:jc w:val="center"/>
              <w:rPr>
                <w:rFonts w:hint="default"/>
                <w:color w:val="000000"/>
                <w:kern w:val="0"/>
                <w:sz w:val="21"/>
                <w:szCs w:val="21"/>
                <w:lang w:eastAsia="en-US" w:bidi="en-US"/>
              </w:rPr>
            </w:pPr>
            <w:r>
              <w:rPr>
                <w:color w:val="000000"/>
                <w:kern w:val="0"/>
                <w:sz w:val="21"/>
                <w:szCs w:val="21"/>
                <w:lang w:eastAsia="en-US" w:bidi="en-US"/>
              </w:rPr>
              <w:t>间接热解吸设备</w:t>
            </w:r>
          </w:p>
        </w:tc>
        <w:tc>
          <w:tcPr>
            <w:tcW w:w="2705" w:type="pct"/>
            <w:tcBorders>
              <w:top w:val="single" w:color="auto" w:sz="4" w:space="0"/>
              <w:left w:val="single" w:color="auto" w:sz="4" w:space="0"/>
            </w:tcBorders>
            <w:shd w:val="clear" w:color="auto" w:fill="FFFFFF"/>
            <w:noWrap w:val="0"/>
            <w:vAlign w:val="center"/>
          </w:tcPr>
          <w:p w14:paraId="2BDC9D90">
            <w:pPr>
              <w:spacing w:line="300" w:lineRule="exact"/>
              <w:rPr>
                <w:rFonts w:hint="default"/>
                <w:color w:val="000000"/>
                <w:kern w:val="0"/>
                <w:sz w:val="21"/>
                <w:szCs w:val="21"/>
                <w:lang w:bidi="en-US"/>
              </w:rPr>
            </w:pPr>
            <w:r>
              <w:rPr>
                <w:color w:val="000000"/>
                <w:kern w:val="0"/>
                <w:sz w:val="21"/>
                <w:szCs w:val="21"/>
                <w:lang w:bidi="en-US"/>
              </w:rPr>
              <w:t>处理规模为5～8t/h；土壤温度为150～650℃；能耗（土壤含水率20%）＜3000MJ/t；有机污染物去除率可达95%；废气排放达到《大气污染物综合排放标准》（GB16297-1996）或相关标准要求；废水排放达到</w:t>
            </w:r>
            <w:r>
              <w:fldChar w:fldCharType="begin"/>
            </w:r>
            <w:r>
              <w:instrText xml:space="preserve"> HYPERLINK "http://bbs.biaozhuns.com/forum.php?mod=viewthread&amp;tid=58230&amp;highlight=%e6%b1%a1%e6%b0%b4%e7%bb%bc%e5%90%88%e6%8e%92%e6%94%be%e6%a0%87%e5%87%86" </w:instrText>
            </w:r>
            <w:r>
              <w:fldChar w:fldCharType="separate"/>
            </w:r>
            <w:r>
              <w:rPr>
                <w:color w:val="000000"/>
                <w:kern w:val="0"/>
                <w:sz w:val="21"/>
                <w:szCs w:val="21"/>
                <w:lang w:bidi="en-US"/>
              </w:rPr>
              <w:t>《污水综合排放标准》</w:t>
            </w:r>
            <w:r>
              <w:rPr>
                <w:color w:val="000000"/>
                <w:kern w:val="0"/>
                <w:sz w:val="21"/>
                <w:szCs w:val="21"/>
                <w:lang w:bidi="en-US"/>
              </w:rPr>
              <w:fldChar w:fldCharType="end"/>
            </w:r>
            <w:r>
              <w:rPr>
                <w:color w:val="000000"/>
                <w:kern w:val="0"/>
                <w:sz w:val="21"/>
                <w:szCs w:val="21"/>
                <w:lang w:bidi="en-US"/>
              </w:rPr>
              <w:t>（GB8978-1996）或相关标准等要求。</w:t>
            </w:r>
          </w:p>
        </w:tc>
        <w:tc>
          <w:tcPr>
            <w:tcW w:w="1319" w:type="pct"/>
            <w:tcBorders>
              <w:top w:val="single" w:color="auto" w:sz="4" w:space="0"/>
              <w:left w:val="single" w:color="auto" w:sz="4" w:space="0"/>
              <w:right w:val="single" w:color="auto" w:sz="4" w:space="0"/>
            </w:tcBorders>
            <w:shd w:val="clear" w:color="auto" w:fill="FFFFFF"/>
            <w:noWrap w:val="0"/>
            <w:vAlign w:val="center"/>
          </w:tcPr>
          <w:p w14:paraId="237C67FC">
            <w:pPr>
              <w:spacing w:line="300" w:lineRule="exact"/>
              <w:rPr>
                <w:rFonts w:hint="default"/>
                <w:color w:val="000000"/>
                <w:kern w:val="0"/>
                <w:sz w:val="21"/>
                <w:szCs w:val="21"/>
                <w:lang w:bidi="en-US"/>
              </w:rPr>
            </w:pPr>
            <w:r>
              <w:rPr>
                <w:color w:val="000000"/>
                <w:kern w:val="0"/>
                <w:sz w:val="21"/>
                <w:szCs w:val="21"/>
                <w:lang w:bidi="en-US"/>
              </w:rPr>
              <w:t>适用于高浓度有机物，含汞、砷等挥发性物质的土壤修复场地处理。</w:t>
            </w:r>
          </w:p>
        </w:tc>
      </w:tr>
      <w:tr w14:paraId="4B1FB7F4">
        <w:tblPrEx>
          <w:tblCellMar>
            <w:top w:w="0" w:type="dxa"/>
            <w:left w:w="10" w:type="dxa"/>
            <w:bottom w:w="0" w:type="dxa"/>
            <w:right w:w="10" w:type="dxa"/>
          </w:tblCellMar>
        </w:tblPrEx>
        <w:trPr>
          <w:trHeight w:val="1002" w:hRule="exact"/>
          <w:jc w:val="center"/>
        </w:trPr>
        <w:tc>
          <w:tcPr>
            <w:tcW w:w="252" w:type="pct"/>
            <w:tcBorders>
              <w:top w:val="single" w:color="auto" w:sz="4" w:space="0"/>
              <w:left w:val="single" w:color="auto" w:sz="4" w:space="0"/>
            </w:tcBorders>
            <w:shd w:val="clear" w:color="auto" w:fill="FFFFFF"/>
            <w:noWrap w:val="0"/>
            <w:vAlign w:val="center"/>
          </w:tcPr>
          <w:p w14:paraId="337C4C82">
            <w:pPr>
              <w:spacing w:line="300" w:lineRule="exact"/>
              <w:jc w:val="center"/>
              <w:rPr>
                <w:rFonts w:hint="default"/>
                <w:color w:val="000000"/>
                <w:kern w:val="0"/>
                <w:sz w:val="21"/>
                <w:szCs w:val="21"/>
                <w:lang w:eastAsia="en-US" w:bidi="en-US"/>
              </w:rPr>
            </w:pPr>
            <w:r>
              <w:rPr>
                <w:color w:val="000000"/>
                <w:kern w:val="0"/>
                <w:sz w:val="21"/>
                <w:szCs w:val="21"/>
                <w:lang w:eastAsia="en-US" w:bidi="en-US"/>
              </w:rPr>
              <w:t>5</w:t>
            </w:r>
          </w:p>
        </w:tc>
        <w:tc>
          <w:tcPr>
            <w:tcW w:w="722" w:type="pct"/>
            <w:tcBorders>
              <w:top w:val="single" w:color="auto" w:sz="4" w:space="0"/>
              <w:left w:val="single" w:color="auto" w:sz="4" w:space="0"/>
            </w:tcBorders>
            <w:shd w:val="clear" w:color="auto" w:fill="FFFFFF"/>
            <w:noWrap w:val="0"/>
            <w:vAlign w:val="center"/>
          </w:tcPr>
          <w:p w14:paraId="6CD057C9">
            <w:pPr>
              <w:spacing w:line="300" w:lineRule="exact"/>
              <w:jc w:val="center"/>
              <w:rPr>
                <w:rFonts w:hint="default"/>
                <w:color w:val="000000"/>
                <w:kern w:val="0"/>
                <w:sz w:val="21"/>
                <w:szCs w:val="21"/>
                <w:lang w:eastAsia="en-US" w:bidi="en-US"/>
              </w:rPr>
            </w:pPr>
            <w:r>
              <w:rPr>
                <w:color w:val="000000"/>
                <w:kern w:val="0"/>
                <w:sz w:val="21"/>
                <w:szCs w:val="21"/>
                <w:lang w:eastAsia="en-US" w:bidi="en-US"/>
              </w:rPr>
              <w:t>土壤淋洗设备</w:t>
            </w:r>
          </w:p>
        </w:tc>
        <w:tc>
          <w:tcPr>
            <w:tcW w:w="2705" w:type="pct"/>
            <w:tcBorders>
              <w:top w:val="single" w:color="auto" w:sz="4" w:space="0"/>
              <w:left w:val="single" w:color="auto" w:sz="4" w:space="0"/>
            </w:tcBorders>
            <w:shd w:val="clear" w:color="auto" w:fill="FFFFFF"/>
            <w:noWrap w:val="0"/>
            <w:vAlign w:val="center"/>
          </w:tcPr>
          <w:p w14:paraId="2D736D23">
            <w:pPr>
              <w:spacing w:line="300" w:lineRule="exact"/>
              <w:rPr>
                <w:rFonts w:hint="default"/>
                <w:color w:val="000000"/>
                <w:kern w:val="0"/>
                <w:sz w:val="21"/>
                <w:szCs w:val="21"/>
                <w:lang w:bidi="en-US"/>
              </w:rPr>
            </w:pPr>
            <w:r>
              <w:rPr>
                <w:color w:val="000000"/>
                <w:kern w:val="0"/>
                <w:sz w:val="21"/>
                <w:szCs w:val="21"/>
                <w:lang w:bidi="en-US"/>
              </w:rPr>
              <w:t>处理量为20～60t/h（粉黏粒含量20%）；水土比2:1～10:1；泥饼含水率＜40%；砂性土分离效率＞90%；淋洗后砂砾中的污染物指标满足相应标准要求。</w:t>
            </w:r>
          </w:p>
        </w:tc>
        <w:tc>
          <w:tcPr>
            <w:tcW w:w="1319" w:type="pct"/>
            <w:tcBorders>
              <w:top w:val="single" w:color="auto" w:sz="4" w:space="0"/>
              <w:left w:val="single" w:color="auto" w:sz="4" w:space="0"/>
              <w:right w:val="single" w:color="auto" w:sz="4" w:space="0"/>
            </w:tcBorders>
            <w:shd w:val="clear" w:color="auto" w:fill="FFFFFF"/>
            <w:noWrap w:val="0"/>
            <w:vAlign w:val="center"/>
          </w:tcPr>
          <w:p w14:paraId="19CAA415">
            <w:pPr>
              <w:spacing w:line="300" w:lineRule="exact"/>
              <w:rPr>
                <w:rFonts w:hint="default"/>
                <w:color w:val="000000"/>
                <w:kern w:val="0"/>
                <w:sz w:val="21"/>
                <w:szCs w:val="21"/>
                <w:lang w:bidi="en-US"/>
              </w:rPr>
            </w:pPr>
            <w:r>
              <w:rPr>
                <w:color w:val="000000"/>
                <w:kern w:val="0"/>
                <w:sz w:val="21"/>
                <w:szCs w:val="21"/>
                <w:lang w:bidi="en-US"/>
              </w:rPr>
              <w:t>适用于重金属、有机物污染的土壤修复场地处理。</w:t>
            </w:r>
          </w:p>
        </w:tc>
      </w:tr>
      <w:tr w14:paraId="6E9C87DD">
        <w:tblPrEx>
          <w:tblCellMar>
            <w:top w:w="0" w:type="dxa"/>
            <w:left w:w="10" w:type="dxa"/>
            <w:bottom w:w="0" w:type="dxa"/>
            <w:right w:w="10" w:type="dxa"/>
          </w:tblCellMar>
        </w:tblPrEx>
        <w:trPr>
          <w:trHeight w:val="1341" w:hRule="exact"/>
          <w:jc w:val="center"/>
        </w:trPr>
        <w:tc>
          <w:tcPr>
            <w:tcW w:w="252" w:type="pct"/>
            <w:tcBorders>
              <w:top w:val="single" w:color="auto" w:sz="4" w:space="0"/>
              <w:left w:val="single" w:color="auto" w:sz="4" w:space="0"/>
            </w:tcBorders>
            <w:shd w:val="clear" w:color="auto" w:fill="FFFFFF"/>
            <w:noWrap w:val="0"/>
            <w:vAlign w:val="center"/>
          </w:tcPr>
          <w:p w14:paraId="4D161677">
            <w:pPr>
              <w:spacing w:line="300" w:lineRule="exact"/>
              <w:jc w:val="center"/>
              <w:rPr>
                <w:rFonts w:hint="default"/>
                <w:color w:val="000000"/>
                <w:kern w:val="0"/>
                <w:sz w:val="21"/>
                <w:szCs w:val="21"/>
                <w:lang w:eastAsia="en-US" w:bidi="en-US"/>
              </w:rPr>
            </w:pPr>
            <w:r>
              <w:rPr>
                <w:color w:val="000000"/>
                <w:kern w:val="0"/>
                <w:sz w:val="21"/>
                <w:szCs w:val="21"/>
                <w:lang w:eastAsia="en-US" w:bidi="en-US"/>
              </w:rPr>
              <w:t>6</w:t>
            </w:r>
          </w:p>
        </w:tc>
        <w:tc>
          <w:tcPr>
            <w:tcW w:w="722" w:type="pct"/>
            <w:tcBorders>
              <w:top w:val="single" w:color="auto" w:sz="4" w:space="0"/>
              <w:left w:val="single" w:color="auto" w:sz="4" w:space="0"/>
            </w:tcBorders>
            <w:shd w:val="clear" w:color="auto" w:fill="FFFFFF"/>
            <w:noWrap w:val="0"/>
            <w:vAlign w:val="center"/>
          </w:tcPr>
          <w:p w14:paraId="2295240C">
            <w:pPr>
              <w:spacing w:line="300" w:lineRule="exact"/>
              <w:jc w:val="center"/>
              <w:rPr>
                <w:rFonts w:hint="default"/>
                <w:color w:val="000000"/>
                <w:kern w:val="0"/>
                <w:sz w:val="21"/>
                <w:szCs w:val="21"/>
                <w:lang w:eastAsia="en-US" w:bidi="en-US"/>
              </w:rPr>
            </w:pPr>
            <w:r>
              <w:rPr>
                <w:color w:val="000000"/>
                <w:kern w:val="0"/>
                <w:sz w:val="21"/>
                <w:szCs w:val="21"/>
                <w:lang w:eastAsia="en-US" w:bidi="en-US"/>
              </w:rPr>
              <w:t>土壤均化混合一体机</w:t>
            </w:r>
          </w:p>
        </w:tc>
        <w:tc>
          <w:tcPr>
            <w:tcW w:w="2705" w:type="pct"/>
            <w:tcBorders>
              <w:top w:val="single" w:color="auto" w:sz="4" w:space="0"/>
              <w:left w:val="single" w:color="auto" w:sz="4" w:space="0"/>
            </w:tcBorders>
            <w:shd w:val="clear" w:color="auto" w:fill="FFFFFF"/>
            <w:noWrap w:val="0"/>
            <w:vAlign w:val="center"/>
          </w:tcPr>
          <w:p w14:paraId="5074534E">
            <w:pPr>
              <w:spacing w:line="300" w:lineRule="exact"/>
              <w:rPr>
                <w:rFonts w:hint="default"/>
                <w:color w:val="000000"/>
                <w:kern w:val="0"/>
                <w:sz w:val="21"/>
                <w:szCs w:val="21"/>
                <w:lang w:bidi="en-US"/>
              </w:rPr>
            </w:pPr>
            <w:r>
              <w:rPr>
                <w:color w:val="000000"/>
                <w:kern w:val="0"/>
                <w:sz w:val="21"/>
                <w:szCs w:val="21"/>
                <w:lang w:bidi="en-US"/>
              </w:rPr>
              <w:t>处理量为30～120t/h；混合搅拌停留时间＞2mln/t；搅拌轴转速＞30转/min；改良后土壤的污染物指标满足填埋标准或相关标准要求。</w:t>
            </w:r>
          </w:p>
        </w:tc>
        <w:tc>
          <w:tcPr>
            <w:tcW w:w="1319" w:type="pct"/>
            <w:tcBorders>
              <w:top w:val="single" w:color="auto" w:sz="4" w:space="0"/>
              <w:left w:val="single" w:color="auto" w:sz="4" w:space="0"/>
              <w:right w:val="single" w:color="auto" w:sz="4" w:space="0"/>
            </w:tcBorders>
            <w:shd w:val="clear" w:color="auto" w:fill="FFFFFF"/>
            <w:noWrap w:val="0"/>
            <w:vAlign w:val="center"/>
          </w:tcPr>
          <w:p w14:paraId="4EFD98BF">
            <w:pPr>
              <w:spacing w:line="300" w:lineRule="exact"/>
              <w:rPr>
                <w:rFonts w:hint="default"/>
                <w:color w:val="000000"/>
                <w:kern w:val="0"/>
                <w:sz w:val="21"/>
                <w:szCs w:val="21"/>
                <w:lang w:bidi="en-US"/>
              </w:rPr>
            </w:pPr>
            <w:r>
              <w:rPr>
                <w:color w:val="000000"/>
                <w:kern w:val="0"/>
                <w:sz w:val="21"/>
                <w:szCs w:val="21"/>
                <w:lang w:bidi="en-US"/>
              </w:rPr>
              <w:t>适用于重金属、有机物污染的固化稳定化土壤修复场地处理。</w:t>
            </w:r>
          </w:p>
        </w:tc>
      </w:tr>
      <w:tr w14:paraId="36368DB0">
        <w:tblPrEx>
          <w:tblCellMar>
            <w:top w:w="0" w:type="dxa"/>
            <w:left w:w="10" w:type="dxa"/>
            <w:bottom w:w="0" w:type="dxa"/>
            <w:right w:w="10" w:type="dxa"/>
          </w:tblCellMar>
        </w:tblPrEx>
        <w:trPr>
          <w:trHeight w:val="2548" w:hRule="exact"/>
          <w:jc w:val="center"/>
        </w:trPr>
        <w:tc>
          <w:tcPr>
            <w:tcW w:w="252" w:type="pct"/>
            <w:tcBorders>
              <w:top w:val="single" w:color="auto" w:sz="4" w:space="0"/>
              <w:left w:val="single" w:color="auto" w:sz="4" w:space="0"/>
              <w:bottom w:val="single" w:color="auto" w:sz="4" w:space="0"/>
            </w:tcBorders>
            <w:shd w:val="clear" w:color="auto" w:fill="FFFFFF"/>
            <w:noWrap w:val="0"/>
            <w:vAlign w:val="center"/>
          </w:tcPr>
          <w:p w14:paraId="51AA9A77">
            <w:pPr>
              <w:spacing w:line="300" w:lineRule="exact"/>
              <w:jc w:val="center"/>
              <w:rPr>
                <w:rFonts w:hint="default"/>
                <w:color w:val="000000"/>
                <w:kern w:val="0"/>
                <w:sz w:val="21"/>
                <w:szCs w:val="21"/>
                <w:lang w:eastAsia="en-US" w:bidi="en-US"/>
              </w:rPr>
            </w:pPr>
            <w:r>
              <w:rPr>
                <w:color w:val="000000"/>
                <w:kern w:val="0"/>
                <w:sz w:val="21"/>
                <w:szCs w:val="21"/>
                <w:lang w:eastAsia="en-US" w:bidi="en-US"/>
              </w:rPr>
              <w:t>7</w:t>
            </w:r>
          </w:p>
        </w:tc>
        <w:tc>
          <w:tcPr>
            <w:tcW w:w="722" w:type="pct"/>
            <w:tcBorders>
              <w:top w:val="single" w:color="auto" w:sz="4" w:space="0"/>
              <w:left w:val="single" w:color="auto" w:sz="4" w:space="0"/>
              <w:bottom w:val="single" w:color="auto" w:sz="4" w:space="0"/>
            </w:tcBorders>
            <w:shd w:val="clear" w:color="auto" w:fill="FFFFFF"/>
            <w:noWrap w:val="0"/>
            <w:vAlign w:val="center"/>
          </w:tcPr>
          <w:p w14:paraId="47788B19">
            <w:pPr>
              <w:spacing w:after="40" w:line="300" w:lineRule="exact"/>
              <w:jc w:val="center"/>
              <w:rPr>
                <w:rFonts w:hint="default"/>
                <w:color w:val="000000"/>
                <w:kern w:val="0"/>
                <w:sz w:val="21"/>
                <w:szCs w:val="21"/>
                <w:lang w:bidi="en-US"/>
              </w:rPr>
            </w:pPr>
            <w:r>
              <w:rPr>
                <w:color w:val="000000"/>
                <w:kern w:val="0"/>
                <w:sz w:val="21"/>
                <w:szCs w:val="21"/>
                <w:lang w:bidi="en-US"/>
              </w:rPr>
              <w:t>直推式钻探</w:t>
            </w:r>
          </w:p>
          <w:p w14:paraId="37BC1099">
            <w:pPr>
              <w:spacing w:line="300" w:lineRule="exact"/>
              <w:jc w:val="center"/>
              <w:rPr>
                <w:rFonts w:hint="default"/>
                <w:color w:val="000000"/>
                <w:kern w:val="0"/>
                <w:sz w:val="21"/>
                <w:szCs w:val="21"/>
                <w:lang w:bidi="en-US"/>
              </w:rPr>
            </w:pPr>
            <w:r>
              <w:rPr>
                <w:color w:val="000000"/>
                <w:kern w:val="0"/>
                <w:sz w:val="21"/>
                <w:szCs w:val="21"/>
                <w:lang w:bidi="en-US"/>
              </w:rPr>
              <w:t>与采样设备</w:t>
            </w:r>
          </w:p>
        </w:tc>
        <w:tc>
          <w:tcPr>
            <w:tcW w:w="2705" w:type="pct"/>
            <w:tcBorders>
              <w:top w:val="single" w:color="auto" w:sz="4" w:space="0"/>
              <w:left w:val="single" w:color="auto" w:sz="4" w:space="0"/>
              <w:bottom w:val="single" w:color="auto" w:sz="4" w:space="0"/>
            </w:tcBorders>
            <w:shd w:val="clear" w:color="auto" w:fill="FFFFFF"/>
            <w:noWrap w:val="0"/>
            <w:vAlign w:val="center"/>
          </w:tcPr>
          <w:p w14:paraId="1EE614FD">
            <w:pPr>
              <w:spacing w:line="300" w:lineRule="exact"/>
              <w:rPr>
                <w:rFonts w:hint="default"/>
                <w:color w:val="000000"/>
                <w:kern w:val="0"/>
                <w:sz w:val="21"/>
                <w:szCs w:val="21"/>
                <w:lang w:bidi="en-US"/>
              </w:rPr>
            </w:pPr>
            <w:r>
              <w:rPr>
                <w:color w:val="000000"/>
                <w:kern w:val="0"/>
                <w:sz w:val="21"/>
                <w:szCs w:val="21"/>
                <w:lang w:bidi="en-US"/>
              </w:rPr>
              <w:t>进尺速度＞120m/天；单次取样推进深度0.5～1.5m；钻探深度0～30m；能够进行非扰动（保持土壤样品垂向连续、定深、含水率等原有理化性状不变）土壤采样，各种地层平均土壤采样岩心率＞70%。</w:t>
            </w:r>
          </w:p>
        </w:tc>
        <w:tc>
          <w:tcPr>
            <w:tcW w:w="1319"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471882B4">
            <w:pPr>
              <w:spacing w:line="300" w:lineRule="exact"/>
              <w:rPr>
                <w:rFonts w:hint="default"/>
                <w:color w:val="000000"/>
                <w:kern w:val="0"/>
                <w:sz w:val="21"/>
                <w:szCs w:val="21"/>
                <w:lang w:bidi="en-US"/>
              </w:rPr>
            </w:pPr>
            <w:r>
              <w:rPr>
                <w:color w:val="000000"/>
                <w:kern w:val="0"/>
                <w:sz w:val="21"/>
                <w:szCs w:val="21"/>
                <w:lang w:bidi="en-US"/>
              </w:rPr>
              <w:t>适用于污染场地土壤的取样、地下水和土壤气监测井建设、高分辨率原位检测调查和原位药剂注射，当土层中有含有卵石等坚硬物时，需移除阻碍物或避开该位置在其附近进行取样。</w:t>
            </w:r>
          </w:p>
        </w:tc>
      </w:tr>
    </w:tbl>
    <w:p w14:paraId="56100A0B">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p w14:paraId="3D23EB24">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p w14:paraId="5AF3A1E7">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p w14:paraId="6B2817CC">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p w14:paraId="0578300C">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p w14:paraId="6FFFBFE0">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p w14:paraId="1E5C479A">
      <w:pPr>
        <w:keepNext w:val="0"/>
        <w:keepLines w:val="0"/>
        <w:pageBreakBefore w:val="0"/>
        <w:widowControl w:val="0"/>
        <w:kinsoku/>
        <w:wordWrap/>
        <w:overflowPunct/>
        <w:topLinePunct w:val="0"/>
        <w:autoSpaceDE/>
        <w:autoSpaceDN/>
        <w:bidi w:val="0"/>
        <w:adjustRightInd/>
        <w:snapToGrid/>
        <w:spacing w:line="740" w:lineRule="exact"/>
        <w:jc w:val="center"/>
        <w:textAlignment w:val="auto"/>
        <w:rPr>
          <w:rFonts w:hint="default" w:ascii="Times New Roman" w:hAnsi="Times New Roman" w:eastAsia="方正小标宋简体" w:cs="Times New Roman"/>
          <w:sz w:val="48"/>
          <w:szCs w:val="48"/>
        </w:rPr>
      </w:pPr>
      <w:r>
        <w:rPr>
          <w:rFonts w:hint="default" w:ascii="Times New Roman" w:hAnsi="Times New Roman" w:eastAsia="方正小标宋简体" w:cs="Times New Roman"/>
          <w:sz w:val="48"/>
          <w:szCs w:val="48"/>
        </w:rPr>
        <w:t>肃</w:t>
      </w:r>
    </w:p>
    <w:p w14:paraId="0A11367A">
      <w:pPr>
        <w:keepNext w:val="0"/>
        <w:keepLines w:val="0"/>
        <w:pageBreakBefore w:val="0"/>
        <w:widowControl w:val="0"/>
        <w:kinsoku/>
        <w:wordWrap/>
        <w:overflowPunct/>
        <w:topLinePunct w:val="0"/>
        <w:autoSpaceDE/>
        <w:autoSpaceDN/>
        <w:bidi w:val="0"/>
        <w:adjustRightInd/>
        <w:snapToGrid/>
        <w:spacing w:line="740" w:lineRule="exact"/>
        <w:jc w:val="center"/>
        <w:textAlignment w:val="auto"/>
        <w:rPr>
          <w:rFonts w:hint="default" w:ascii="Times New Roman" w:hAnsi="Times New Roman" w:eastAsia="方正小标宋简体" w:cs="Times New Roman"/>
          <w:sz w:val="48"/>
          <w:szCs w:val="48"/>
        </w:rPr>
      </w:pPr>
      <w:r>
        <w:rPr>
          <w:rFonts w:hint="default" w:ascii="Times New Roman" w:hAnsi="Times New Roman" w:eastAsia="方正小标宋简体" w:cs="Times New Roman"/>
          <w:sz w:val="48"/>
          <w:szCs w:val="48"/>
        </w:rPr>
        <w:t>南</w:t>
      </w:r>
    </w:p>
    <w:p w14:paraId="682B4BA1">
      <w:pPr>
        <w:keepNext w:val="0"/>
        <w:keepLines w:val="0"/>
        <w:pageBreakBefore w:val="0"/>
        <w:widowControl w:val="0"/>
        <w:kinsoku/>
        <w:wordWrap/>
        <w:overflowPunct/>
        <w:topLinePunct w:val="0"/>
        <w:autoSpaceDE/>
        <w:autoSpaceDN/>
        <w:bidi w:val="0"/>
        <w:adjustRightInd/>
        <w:snapToGrid/>
        <w:spacing w:line="740" w:lineRule="exact"/>
        <w:jc w:val="center"/>
        <w:textAlignment w:val="auto"/>
        <w:rPr>
          <w:rFonts w:hint="default" w:ascii="Times New Roman" w:hAnsi="Times New Roman" w:eastAsia="方正小标宋简体" w:cs="Times New Roman"/>
          <w:sz w:val="48"/>
          <w:szCs w:val="48"/>
        </w:rPr>
      </w:pPr>
      <w:r>
        <w:rPr>
          <w:rFonts w:hint="default" w:ascii="Times New Roman" w:hAnsi="Times New Roman" w:eastAsia="方正小标宋简体" w:cs="Times New Roman"/>
          <w:sz w:val="48"/>
          <w:szCs w:val="48"/>
        </w:rPr>
        <w:t>县</w:t>
      </w:r>
    </w:p>
    <w:p w14:paraId="08D29B41">
      <w:pPr>
        <w:keepNext w:val="0"/>
        <w:keepLines w:val="0"/>
        <w:pageBreakBefore w:val="0"/>
        <w:widowControl w:val="0"/>
        <w:kinsoku/>
        <w:wordWrap/>
        <w:overflowPunct/>
        <w:topLinePunct w:val="0"/>
        <w:autoSpaceDE/>
        <w:autoSpaceDN/>
        <w:bidi w:val="0"/>
        <w:adjustRightInd/>
        <w:snapToGrid/>
        <w:spacing w:line="740" w:lineRule="exact"/>
        <w:jc w:val="center"/>
        <w:textAlignment w:val="auto"/>
        <w:rPr>
          <w:rFonts w:hint="default" w:ascii="Times New Roman" w:hAnsi="Times New Roman" w:eastAsia="方正小标宋简体" w:cs="Times New Roman"/>
          <w:sz w:val="48"/>
          <w:szCs w:val="48"/>
        </w:rPr>
      </w:pPr>
      <w:r>
        <w:rPr>
          <w:rFonts w:hint="default" w:ascii="Times New Roman" w:hAnsi="Times New Roman" w:eastAsia="方正小标宋简体" w:cs="Times New Roman"/>
          <w:sz w:val="48"/>
          <w:szCs w:val="48"/>
        </w:rPr>
        <w:t>突</w:t>
      </w:r>
    </w:p>
    <w:p w14:paraId="53F32C47">
      <w:pPr>
        <w:keepNext w:val="0"/>
        <w:keepLines w:val="0"/>
        <w:pageBreakBefore w:val="0"/>
        <w:widowControl w:val="0"/>
        <w:kinsoku/>
        <w:wordWrap/>
        <w:overflowPunct/>
        <w:topLinePunct w:val="0"/>
        <w:autoSpaceDE/>
        <w:autoSpaceDN/>
        <w:bidi w:val="0"/>
        <w:adjustRightInd/>
        <w:snapToGrid/>
        <w:spacing w:line="740" w:lineRule="exact"/>
        <w:jc w:val="center"/>
        <w:textAlignment w:val="auto"/>
        <w:rPr>
          <w:rFonts w:hint="default" w:ascii="Times New Roman" w:hAnsi="Times New Roman" w:eastAsia="方正小标宋简体" w:cs="Times New Roman"/>
          <w:sz w:val="48"/>
          <w:szCs w:val="48"/>
        </w:rPr>
      </w:pPr>
      <w:r>
        <w:rPr>
          <w:rFonts w:hint="default" w:ascii="Times New Roman" w:hAnsi="Times New Roman" w:eastAsia="方正小标宋简体" w:cs="Times New Roman"/>
          <w:sz w:val="48"/>
          <w:szCs w:val="48"/>
        </w:rPr>
        <w:t>发</w:t>
      </w:r>
    </w:p>
    <w:p w14:paraId="4E3E3C90">
      <w:pPr>
        <w:keepNext w:val="0"/>
        <w:keepLines w:val="0"/>
        <w:pageBreakBefore w:val="0"/>
        <w:widowControl w:val="0"/>
        <w:kinsoku/>
        <w:wordWrap/>
        <w:overflowPunct/>
        <w:topLinePunct w:val="0"/>
        <w:autoSpaceDE/>
        <w:autoSpaceDN/>
        <w:bidi w:val="0"/>
        <w:adjustRightInd/>
        <w:snapToGrid/>
        <w:spacing w:line="740" w:lineRule="exact"/>
        <w:jc w:val="center"/>
        <w:textAlignment w:val="auto"/>
        <w:rPr>
          <w:rFonts w:hint="default" w:ascii="Times New Roman" w:hAnsi="Times New Roman" w:eastAsia="方正小标宋简体" w:cs="Times New Roman"/>
          <w:sz w:val="48"/>
          <w:szCs w:val="48"/>
        </w:rPr>
      </w:pPr>
      <w:r>
        <w:rPr>
          <w:rFonts w:hint="default" w:ascii="Times New Roman" w:hAnsi="Times New Roman" w:eastAsia="方正小标宋简体" w:cs="Times New Roman"/>
          <w:sz w:val="48"/>
          <w:szCs w:val="48"/>
        </w:rPr>
        <w:t>生</w:t>
      </w:r>
    </w:p>
    <w:p w14:paraId="4F1E41D1">
      <w:pPr>
        <w:keepNext w:val="0"/>
        <w:keepLines w:val="0"/>
        <w:pageBreakBefore w:val="0"/>
        <w:widowControl w:val="0"/>
        <w:kinsoku/>
        <w:wordWrap/>
        <w:overflowPunct/>
        <w:topLinePunct w:val="0"/>
        <w:autoSpaceDE/>
        <w:autoSpaceDN/>
        <w:bidi w:val="0"/>
        <w:adjustRightInd/>
        <w:snapToGrid/>
        <w:spacing w:line="740" w:lineRule="exact"/>
        <w:jc w:val="center"/>
        <w:textAlignment w:val="auto"/>
        <w:rPr>
          <w:rFonts w:hint="default" w:ascii="Times New Roman" w:hAnsi="Times New Roman" w:eastAsia="方正小标宋简体" w:cs="Times New Roman"/>
          <w:sz w:val="48"/>
          <w:szCs w:val="48"/>
        </w:rPr>
      </w:pPr>
      <w:r>
        <w:rPr>
          <w:rFonts w:hint="default" w:ascii="Times New Roman" w:hAnsi="Times New Roman" w:eastAsia="方正小标宋简体" w:cs="Times New Roman"/>
          <w:sz w:val="48"/>
          <w:szCs w:val="48"/>
        </w:rPr>
        <w:t>态</w:t>
      </w:r>
    </w:p>
    <w:p w14:paraId="1BCEA8AC">
      <w:pPr>
        <w:keepNext w:val="0"/>
        <w:keepLines w:val="0"/>
        <w:pageBreakBefore w:val="0"/>
        <w:widowControl w:val="0"/>
        <w:kinsoku/>
        <w:wordWrap/>
        <w:overflowPunct/>
        <w:topLinePunct w:val="0"/>
        <w:autoSpaceDE/>
        <w:autoSpaceDN/>
        <w:bidi w:val="0"/>
        <w:adjustRightInd/>
        <w:snapToGrid/>
        <w:spacing w:line="740" w:lineRule="exact"/>
        <w:jc w:val="center"/>
        <w:textAlignment w:val="auto"/>
        <w:rPr>
          <w:rFonts w:hint="default" w:ascii="Times New Roman" w:hAnsi="Times New Roman" w:eastAsia="方正小标宋简体" w:cs="Times New Roman"/>
          <w:sz w:val="48"/>
          <w:szCs w:val="48"/>
        </w:rPr>
      </w:pPr>
      <w:r>
        <w:rPr>
          <w:rFonts w:hint="default" w:ascii="Times New Roman" w:hAnsi="Times New Roman" w:eastAsia="方正小标宋简体" w:cs="Times New Roman"/>
          <w:sz w:val="48"/>
          <w:szCs w:val="48"/>
        </w:rPr>
        <w:t>环</w:t>
      </w:r>
    </w:p>
    <w:p w14:paraId="1AEDB513">
      <w:pPr>
        <w:keepNext w:val="0"/>
        <w:keepLines w:val="0"/>
        <w:pageBreakBefore w:val="0"/>
        <w:widowControl w:val="0"/>
        <w:kinsoku/>
        <w:wordWrap/>
        <w:overflowPunct/>
        <w:topLinePunct w:val="0"/>
        <w:autoSpaceDE/>
        <w:autoSpaceDN/>
        <w:bidi w:val="0"/>
        <w:adjustRightInd/>
        <w:snapToGrid/>
        <w:spacing w:line="740" w:lineRule="exact"/>
        <w:jc w:val="center"/>
        <w:textAlignment w:val="auto"/>
        <w:rPr>
          <w:rFonts w:hint="default" w:ascii="Times New Roman" w:hAnsi="Times New Roman" w:eastAsia="方正小标宋简体" w:cs="Times New Roman"/>
          <w:sz w:val="48"/>
          <w:szCs w:val="48"/>
        </w:rPr>
      </w:pPr>
      <w:r>
        <w:rPr>
          <w:rFonts w:hint="default" w:ascii="Times New Roman" w:hAnsi="Times New Roman" w:eastAsia="方正小标宋简体" w:cs="Times New Roman"/>
          <w:sz w:val="48"/>
          <w:szCs w:val="48"/>
        </w:rPr>
        <w:t>境</w:t>
      </w:r>
    </w:p>
    <w:p w14:paraId="6E008475">
      <w:pPr>
        <w:keepNext w:val="0"/>
        <w:keepLines w:val="0"/>
        <w:pageBreakBefore w:val="0"/>
        <w:widowControl w:val="0"/>
        <w:kinsoku/>
        <w:wordWrap/>
        <w:overflowPunct/>
        <w:topLinePunct w:val="0"/>
        <w:autoSpaceDE/>
        <w:autoSpaceDN/>
        <w:bidi w:val="0"/>
        <w:adjustRightInd/>
        <w:snapToGrid/>
        <w:spacing w:line="740" w:lineRule="exact"/>
        <w:jc w:val="center"/>
        <w:textAlignment w:val="auto"/>
        <w:rPr>
          <w:rFonts w:hint="default" w:ascii="Times New Roman" w:hAnsi="Times New Roman" w:eastAsia="方正小标宋简体" w:cs="Times New Roman"/>
          <w:sz w:val="48"/>
          <w:szCs w:val="48"/>
        </w:rPr>
      </w:pPr>
      <w:r>
        <w:rPr>
          <w:rFonts w:hint="default" w:ascii="Times New Roman" w:hAnsi="Times New Roman" w:eastAsia="方正小标宋简体" w:cs="Times New Roman"/>
          <w:sz w:val="48"/>
          <w:szCs w:val="48"/>
        </w:rPr>
        <w:t>事</w:t>
      </w:r>
    </w:p>
    <w:p w14:paraId="7248DBF1">
      <w:pPr>
        <w:keepNext w:val="0"/>
        <w:keepLines w:val="0"/>
        <w:pageBreakBefore w:val="0"/>
        <w:widowControl w:val="0"/>
        <w:kinsoku/>
        <w:wordWrap/>
        <w:overflowPunct/>
        <w:topLinePunct w:val="0"/>
        <w:autoSpaceDE/>
        <w:autoSpaceDN/>
        <w:bidi w:val="0"/>
        <w:adjustRightInd/>
        <w:snapToGrid/>
        <w:spacing w:line="740" w:lineRule="exact"/>
        <w:jc w:val="center"/>
        <w:textAlignment w:val="auto"/>
        <w:rPr>
          <w:rFonts w:hint="default" w:ascii="Times New Roman" w:hAnsi="Times New Roman" w:eastAsia="方正小标宋简体" w:cs="Times New Roman"/>
          <w:sz w:val="48"/>
          <w:szCs w:val="48"/>
        </w:rPr>
      </w:pPr>
      <w:r>
        <w:rPr>
          <w:rFonts w:hint="default" w:ascii="Times New Roman" w:hAnsi="Times New Roman" w:eastAsia="方正小标宋简体" w:cs="Times New Roman"/>
          <w:sz w:val="48"/>
          <w:szCs w:val="48"/>
        </w:rPr>
        <w:t>件</w:t>
      </w:r>
    </w:p>
    <w:p w14:paraId="56E3E079">
      <w:pPr>
        <w:keepNext w:val="0"/>
        <w:keepLines w:val="0"/>
        <w:pageBreakBefore w:val="0"/>
        <w:widowControl w:val="0"/>
        <w:kinsoku/>
        <w:wordWrap/>
        <w:overflowPunct/>
        <w:topLinePunct w:val="0"/>
        <w:autoSpaceDE/>
        <w:autoSpaceDN/>
        <w:bidi w:val="0"/>
        <w:adjustRightInd/>
        <w:snapToGrid/>
        <w:spacing w:line="740" w:lineRule="exact"/>
        <w:jc w:val="center"/>
        <w:textAlignment w:val="auto"/>
        <w:rPr>
          <w:rFonts w:hint="default" w:ascii="Times New Roman" w:hAnsi="Times New Roman" w:eastAsia="方正小标宋简体" w:cs="Times New Roman"/>
          <w:sz w:val="48"/>
          <w:szCs w:val="48"/>
        </w:rPr>
      </w:pPr>
      <w:r>
        <w:rPr>
          <w:rFonts w:hint="default" w:ascii="Times New Roman" w:hAnsi="Times New Roman" w:eastAsia="方正小标宋简体" w:cs="Times New Roman"/>
          <w:sz w:val="48"/>
          <w:szCs w:val="48"/>
        </w:rPr>
        <w:t>工</w:t>
      </w:r>
    </w:p>
    <w:p w14:paraId="75711611">
      <w:pPr>
        <w:keepNext w:val="0"/>
        <w:keepLines w:val="0"/>
        <w:pageBreakBefore w:val="0"/>
        <w:widowControl w:val="0"/>
        <w:kinsoku/>
        <w:wordWrap/>
        <w:overflowPunct/>
        <w:topLinePunct w:val="0"/>
        <w:autoSpaceDE/>
        <w:autoSpaceDN/>
        <w:bidi w:val="0"/>
        <w:adjustRightInd/>
        <w:snapToGrid/>
        <w:spacing w:line="740" w:lineRule="exact"/>
        <w:jc w:val="center"/>
        <w:textAlignment w:val="auto"/>
        <w:rPr>
          <w:rFonts w:hint="default" w:ascii="Times New Roman" w:hAnsi="Times New Roman" w:eastAsia="方正小标宋简体" w:cs="Times New Roman"/>
          <w:sz w:val="48"/>
          <w:szCs w:val="48"/>
        </w:rPr>
      </w:pPr>
      <w:r>
        <w:rPr>
          <w:rFonts w:hint="default" w:ascii="Times New Roman" w:hAnsi="Times New Roman" w:eastAsia="方正小标宋简体" w:cs="Times New Roman"/>
          <w:sz w:val="48"/>
          <w:szCs w:val="48"/>
        </w:rPr>
        <w:t>作</w:t>
      </w:r>
    </w:p>
    <w:p w14:paraId="5D0985FE">
      <w:pPr>
        <w:keepNext w:val="0"/>
        <w:keepLines w:val="0"/>
        <w:pageBreakBefore w:val="0"/>
        <w:widowControl w:val="0"/>
        <w:kinsoku/>
        <w:wordWrap/>
        <w:overflowPunct/>
        <w:topLinePunct w:val="0"/>
        <w:autoSpaceDE/>
        <w:autoSpaceDN/>
        <w:bidi w:val="0"/>
        <w:adjustRightInd/>
        <w:snapToGrid/>
        <w:spacing w:line="740" w:lineRule="exact"/>
        <w:jc w:val="center"/>
        <w:textAlignment w:val="auto"/>
        <w:rPr>
          <w:rFonts w:hint="default" w:ascii="Times New Roman" w:hAnsi="Times New Roman" w:eastAsia="方正小标宋简体" w:cs="Times New Roman"/>
          <w:sz w:val="48"/>
          <w:szCs w:val="48"/>
        </w:rPr>
      </w:pPr>
      <w:r>
        <w:rPr>
          <w:rFonts w:hint="default" w:ascii="Times New Roman" w:hAnsi="Times New Roman" w:eastAsia="方正小标宋简体" w:cs="Times New Roman"/>
          <w:sz w:val="48"/>
          <w:szCs w:val="48"/>
        </w:rPr>
        <w:t>手</w:t>
      </w:r>
    </w:p>
    <w:p w14:paraId="7169C083">
      <w:pPr>
        <w:keepNext w:val="0"/>
        <w:keepLines w:val="0"/>
        <w:pageBreakBefore w:val="0"/>
        <w:widowControl w:val="0"/>
        <w:kinsoku/>
        <w:wordWrap/>
        <w:overflowPunct/>
        <w:topLinePunct w:val="0"/>
        <w:autoSpaceDE/>
        <w:autoSpaceDN/>
        <w:bidi w:val="0"/>
        <w:adjustRightInd/>
        <w:snapToGrid/>
        <w:spacing w:line="740" w:lineRule="exact"/>
        <w:jc w:val="center"/>
        <w:textAlignment w:val="auto"/>
        <w:rPr>
          <w:rFonts w:hint="default" w:ascii="Times New Roman" w:hAnsi="Times New Roman" w:eastAsia="方正小标宋简体" w:cs="Times New Roman"/>
          <w:sz w:val="48"/>
          <w:szCs w:val="48"/>
        </w:rPr>
      </w:pPr>
      <w:r>
        <w:rPr>
          <w:rFonts w:hint="default" w:ascii="Times New Roman" w:hAnsi="Times New Roman" w:eastAsia="方正小标宋简体" w:cs="Times New Roman"/>
          <w:sz w:val="48"/>
          <w:szCs w:val="48"/>
        </w:rPr>
        <w:t>册</w:t>
      </w:r>
    </w:p>
    <w:p w14:paraId="220B4510">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p w14:paraId="5480B3C1">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p w14:paraId="312FCC4E">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小标宋简体" w:cs="Times New Roman"/>
          <w:sz w:val="44"/>
          <w:szCs w:val="44"/>
        </w:rPr>
      </w:pPr>
    </w:p>
    <w:p w14:paraId="15966D4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肃南县突发生态环境事件工作手册</w:t>
      </w:r>
      <w:bookmarkStart w:id="114" w:name="heading_104"/>
    </w:p>
    <w:p w14:paraId="65BCA0E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p>
    <w:bookmarkEnd w:id="114"/>
    <w:p w14:paraId="6F15AB53">
      <w:pPr>
        <w:keepNext/>
        <w:keepLines/>
        <w:pageBreakBefore w:val="0"/>
        <w:widowControl w:val="0"/>
        <w:kinsoku/>
        <w:wordWrap/>
        <w:overflowPunct/>
        <w:topLinePunct w:val="0"/>
        <w:autoSpaceDE/>
        <w:autoSpaceDN/>
        <w:bidi w:val="0"/>
        <w:adjustRightInd/>
        <w:snapToGrid/>
        <w:spacing w:line="360" w:lineRule="auto"/>
        <w:jc w:val="center"/>
        <w:textAlignment w:val="auto"/>
        <w:outlineLvl w:val="1"/>
        <w:rPr>
          <w:rFonts w:hint="default" w:ascii="Times New Roman" w:hAnsi="Times New Roman" w:eastAsia="黑体" w:cs="Times New Roman"/>
          <w:b w:val="0"/>
          <w:bCs w:val="0"/>
          <w:color w:val="auto"/>
          <w:kern w:val="2"/>
          <w:sz w:val="32"/>
          <w:szCs w:val="24"/>
          <w:highlight w:val="none"/>
          <w:lang w:val="en-US" w:eastAsia="zh-CN" w:bidi="ar-SA"/>
        </w:rPr>
      </w:pPr>
      <w:bookmarkStart w:id="115" w:name="_Toc1460966632"/>
      <w:r>
        <w:rPr>
          <w:rFonts w:hint="default" w:ascii="Times New Roman" w:hAnsi="Times New Roman" w:eastAsia="黑体" w:cs="Times New Roman"/>
          <w:b w:val="0"/>
          <w:bCs w:val="0"/>
          <w:color w:val="auto"/>
          <w:kern w:val="2"/>
          <w:sz w:val="32"/>
          <w:szCs w:val="24"/>
          <w:highlight w:val="none"/>
          <w:lang w:val="en-US" w:eastAsia="zh-CN" w:bidi="ar-SA"/>
        </w:rPr>
        <w:t>生态环境重点环保设施安全隐患排查工作要点</w:t>
      </w:r>
      <w:bookmarkEnd w:id="115"/>
    </w:p>
    <w:p w14:paraId="6737551A">
      <w:pPr>
        <w:pStyle w:val="2"/>
        <w:overflowPunct w:val="0"/>
        <w:spacing w:line="560" w:lineRule="exact"/>
        <w:ind w:firstLine="640" w:firstLineChars="200"/>
        <w:rPr>
          <w:rFonts w:hint="default" w:ascii="Times New Roman" w:hAnsi="Times New Roman" w:eastAsia="楷体_GB2312" w:cs="Times New Roman"/>
          <w:b w:val="0"/>
          <w:bCs w:val="0"/>
          <w:kern w:val="2"/>
          <w:sz w:val="32"/>
          <w:szCs w:val="32"/>
          <w:lang w:val="en-US" w:eastAsia="zh-CN" w:bidi="ar-SA"/>
        </w:rPr>
      </w:pPr>
      <w:bookmarkStart w:id="116" w:name="_Toc6679_WPSOffice_Level2"/>
      <w:r>
        <w:rPr>
          <w:rFonts w:hint="default" w:ascii="Times New Roman" w:hAnsi="Times New Roman" w:eastAsia="楷体_GB2312" w:cs="Times New Roman"/>
          <w:b w:val="0"/>
          <w:bCs w:val="0"/>
          <w:kern w:val="2"/>
          <w:sz w:val="32"/>
          <w:szCs w:val="32"/>
          <w:lang w:val="en-US" w:eastAsia="zh-CN" w:bidi="ar-SA"/>
        </w:rPr>
        <w:t>（一）脱硫污染防治设施安全隐患排查要点</w:t>
      </w:r>
      <w:bookmarkEnd w:id="116"/>
    </w:p>
    <w:p w14:paraId="5B8682D4">
      <w:pPr>
        <w:pStyle w:val="2"/>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1.涉及不同气体进入同一处理装置是否进行安全条件分析，并具有相关证明材料。</w:t>
      </w:r>
    </w:p>
    <w:p w14:paraId="262E3E3A">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2.脱硫烟道是否在低位点装设自动疏放水系统。</w:t>
      </w:r>
    </w:p>
    <w:p w14:paraId="78708D03">
      <w:pPr>
        <w:pStyle w:val="2"/>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3.氨法脱硫工程在吸收塔入口烟道是否设置烟气事故喷淋降温系统。</w:t>
      </w:r>
    </w:p>
    <w:p w14:paraId="51280E2D">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4.进入脱硫塔前的烟气温度超过150℃时是否设置必要的烟气降温系统。</w:t>
      </w:r>
    </w:p>
    <w:p w14:paraId="29A3EBD3">
      <w:pPr>
        <w:pStyle w:val="2"/>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5.吸收剂是否设降温、消防、紧急切断等措施。</w:t>
      </w:r>
    </w:p>
    <w:p w14:paraId="42D3B83C">
      <w:pPr>
        <w:pStyle w:val="2"/>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6.吸收循环系统是否设置事故池。</w:t>
      </w:r>
    </w:p>
    <w:p w14:paraId="7B6850EF">
      <w:pPr>
        <w:pStyle w:val="2"/>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7.浆液管道内是否避免浆液沉积，并设排空和冲洗的设施。</w:t>
      </w:r>
    </w:p>
    <w:p w14:paraId="434134D6">
      <w:pPr>
        <w:pStyle w:val="2"/>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8.氨法脱硫工程是否采用集中监控，实现脱硫装置启动、正常运行工况的监视和调整、停机和事故处理。</w:t>
      </w:r>
    </w:p>
    <w:p w14:paraId="2B697443">
      <w:pPr>
        <w:pStyle w:val="2"/>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9.湿法脱硫装置是否配备自动控制系统，具有完善的模拟量控制、顺序控制、联锁、保护、报警等功能，设集中和现场两种操作方式。</w:t>
      </w:r>
    </w:p>
    <w:p w14:paraId="155BD943">
      <w:pPr>
        <w:pStyle w:val="2"/>
        <w:overflowPunct w:val="0"/>
        <w:spacing w:line="560" w:lineRule="exact"/>
        <w:ind w:firstLine="616" w:firstLineChars="200"/>
        <w:rPr>
          <w:rFonts w:hint="default" w:ascii="Times New Roman" w:hAnsi="Times New Roman" w:eastAsia="仿宋_GB2312" w:cs="Times New Roman"/>
          <w:spacing w:val="-6"/>
          <w:sz w:val="32"/>
          <w:szCs w:val="32"/>
        </w:rPr>
      </w:pPr>
      <w:r>
        <w:rPr>
          <w:rFonts w:hint="default" w:ascii="Times New Roman" w:hAnsi="Times New Roman" w:eastAsia="仿宋_GB2312" w:cs="Times New Roman"/>
          <w:spacing w:val="-6"/>
          <w:sz w:val="32"/>
          <w:szCs w:val="32"/>
        </w:rPr>
        <w:t>10.每班巡视对脱硫工程的机械设备检查是否不少于1次，检查有无泄漏、振动、异响、堵塞、未达到设计流量等情况存在。</w:t>
      </w:r>
    </w:p>
    <w:p w14:paraId="37FC6912">
      <w:pPr>
        <w:pStyle w:val="2"/>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11.吸收塔入口烟气温度、吸收塔温度等重要热工检测项目仪表是否双重或三重冗余设置。</w:t>
      </w:r>
    </w:p>
    <w:p w14:paraId="0BA8F01D">
      <w:pPr>
        <w:pStyle w:val="2"/>
        <w:overflowPunct w:val="0"/>
        <w:spacing w:line="560" w:lineRule="exact"/>
        <w:ind w:firstLine="640" w:firstLineChars="200"/>
        <w:rPr>
          <w:rFonts w:hint="default" w:ascii="Times New Roman" w:hAnsi="Times New Roman" w:eastAsia="楷体_GB2312" w:cs="Times New Roman"/>
          <w:b w:val="0"/>
          <w:bCs w:val="0"/>
          <w:kern w:val="2"/>
          <w:sz w:val="32"/>
          <w:szCs w:val="32"/>
          <w:lang w:val="en-US" w:eastAsia="zh-CN" w:bidi="ar-SA"/>
        </w:rPr>
      </w:pPr>
      <w:bookmarkStart w:id="117" w:name="_Toc6733_WPSOffice_Level2"/>
      <w:bookmarkStart w:id="118" w:name="_Toc1112733685_WPSOffice_Level2"/>
      <w:r>
        <w:rPr>
          <w:rFonts w:hint="default" w:ascii="Times New Roman" w:hAnsi="Times New Roman" w:eastAsia="楷体_GB2312" w:cs="Times New Roman"/>
          <w:b w:val="0"/>
          <w:bCs w:val="0"/>
          <w:kern w:val="2"/>
          <w:sz w:val="32"/>
          <w:szCs w:val="32"/>
          <w:lang w:val="en-US" w:eastAsia="zh-CN" w:bidi="ar-SA"/>
        </w:rPr>
        <w:t>（二）脱硝污染防治设施设施安全隐患排查要点</w:t>
      </w:r>
      <w:bookmarkEnd w:id="117"/>
      <w:bookmarkEnd w:id="118"/>
    </w:p>
    <w:p w14:paraId="43AC5A79">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1.吸收塔入口烟气温度、吸收塔温度等重要热工检测项目仪表是否双重或三重冗余设置。</w:t>
      </w:r>
    </w:p>
    <w:p w14:paraId="3B9ADB61">
      <w:pPr>
        <w:pStyle w:val="2"/>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2.液氨槽车卸料是否采用万向充装管道系统。</w:t>
      </w:r>
    </w:p>
    <w:p w14:paraId="60C5923A">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3.在地上、半地下储罐或储罐组，是否设置非燃烧、耐腐蚀材料的防火堤。</w:t>
      </w:r>
    </w:p>
    <w:p w14:paraId="3545258E">
      <w:pPr>
        <w:pStyle w:val="2"/>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4.液氨罐区是否安装相应的气体泄漏检测报警装置、防雷防静电装置、相应的消防设施、储罐安全附件、急救设施设备和泄漏应急处理设备等。</w:t>
      </w:r>
    </w:p>
    <w:p w14:paraId="00E44CFC">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5.液氨罐区电气设备是否防爆。</w:t>
      </w:r>
    </w:p>
    <w:p w14:paraId="0420E141">
      <w:pPr>
        <w:pStyle w:val="2"/>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6.液氨罐区大门入口处是否装设静电释放装置。</w:t>
      </w:r>
    </w:p>
    <w:p w14:paraId="0470E53F">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7.液氨罐区入口是否设置明显的职业危害告知牌和安全标志，注明氨物理和化学特性、危害防护、处置措施、接警电话等内容。</w:t>
      </w:r>
    </w:p>
    <w:p w14:paraId="4E2AB779">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8.液氨罐区是否设置能覆盖生产区并能够传输到控制室的视频监视系统。</w:t>
      </w:r>
    </w:p>
    <w:p w14:paraId="45BAA6EE">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9.液氨罐区是否设置用于消防灭火和液氨泄漏稀释吸收的消防喷淋系统。</w:t>
      </w:r>
    </w:p>
    <w:p w14:paraId="2E20AE81">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10.液氨罐区每个储罐是否单独设置用于罐体表面温度冷却的降温喷淋系统。</w:t>
      </w:r>
    </w:p>
    <w:p w14:paraId="38C28F29">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11.液氨罐区是否设有必要的安全自动装置，当储罐温度和压力超过设定值时启动降温喷淋系统；储罐压力和液位超过设定值时切断进料；液氨泄漏检测超过设定值时启动消防喷淋系统。安全自动装置应采用保安电源或UPS供电。</w:t>
      </w:r>
    </w:p>
    <w:p w14:paraId="20077C4C">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12.液氨罐区及输氨管道法兰、阀门连接处是否装设金属跨接线。</w:t>
      </w:r>
    </w:p>
    <w:p w14:paraId="24E2A62D">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13.脱销系统是否集中监控，实现脱销装置启动、正常运行工况的监视和调整、停机和事故处理。</w:t>
      </w:r>
    </w:p>
    <w:p w14:paraId="29C28D1E">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14.脱销系统是否采用分散控制系统(DCS)或可编程逻辑控制器(PLC)，其功能包括数据采集和处理(DAS)、模拟量控制(MCS)、顺序控制(SCS)及联锁保护、厂用电源系统监控等。</w:t>
      </w:r>
    </w:p>
    <w:p w14:paraId="17A1368E">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15.重要的热工测量项目仪表是否双重或三重化冗余设置。</w:t>
      </w:r>
    </w:p>
    <w:p w14:paraId="3B08FCB8">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16.吸收循环系统是否设置事故池或事故罐。</w:t>
      </w:r>
    </w:p>
    <w:p w14:paraId="63C37475">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17.还原剂储运制备系统区域内是否设风向指示标，并安装摄像头。</w:t>
      </w:r>
    </w:p>
    <w:p w14:paraId="55E4B3C7">
      <w:pPr>
        <w:pStyle w:val="2"/>
        <w:overflowPunct w:val="0"/>
        <w:spacing w:line="560" w:lineRule="exact"/>
        <w:ind w:firstLine="640" w:firstLineChars="200"/>
        <w:rPr>
          <w:rFonts w:hint="default" w:ascii="Times New Roman" w:hAnsi="Times New Roman" w:eastAsia="楷体_GB2312" w:cs="Times New Roman"/>
          <w:b w:val="0"/>
          <w:bCs w:val="0"/>
          <w:kern w:val="2"/>
          <w:sz w:val="32"/>
          <w:szCs w:val="32"/>
          <w:lang w:val="en-US" w:eastAsia="zh-CN" w:bidi="ar-SA"/>
        </w:rPr>
      </w:pPr>
      <w:bookmarkStart w:id="119" w:name="_Toc29405_WPSOffice_Level2"/>
      <w:bookmarkStart w:id="120" w:name="_Toc952122236_WPSOffice_Level2"/>
      <w:r>
        <w:rPr>
          <w:rFonts w:hint="default" w:ascii="Times New Roman" w:hAnsi="Times New Roman" w:eastAsia="楷体_GB2312" w:cs="Times New Roman"/>
          <w:b w:val="0"/>
          <w:bCs w:val="0"/>
          <w:kern w:val="2"/>
          <w:sz w:val="32"/>
          <w:szCs w:val="32"/>
          <w:lang w:val="en-US" w:eastAsia="zh-CN" w:bidi="ar-SA"/>
        </w:rPr>
        <w:t>（三）挥发性有机物污染防治设施安全隐患排查要点</w:t>
      </w:r>
      <w:bookmarkEnd w:id="119"/>
      <w:bookmarkEnd w:id="120"/>
    </w:p>
    <w:p w14:paraId="1A2F7572">
      <w:pPr>
        <w:pStyle w:val="2"/>
        <w:overflowPunct w:val="0"/>
        <w:spacing w:line="560" w:lineRule="exact"/>
        <w:ind w:firstLine="640" w:firstLineChars="200"/>
        <w:rPr>
          <w:rFonts w:hint="default" w:ascii="Times New Roman" w:hAnsi="Times New Roman" w:eastAsia="仿宋_GB2312" w:cs="Times New Roman"/>
          <w:b w:val="0"/>
          <w:bCs w:val="0"/>
          <w:sz w:val="32"/>
          <w:szCs w:val="32"/>
        </w:rPr>
      </w:pPr>
      <w:bookmarkStart w:id="121" w:name="_Toc7279_WPSOffice_Level3"/>
      <w:r>
        <w:rPr>
          <w:rFonts w:hint="default" w:ascii="Times New Roman" w:hAnsi="Times New Roman" w:eastAsia="仿宋_GB2312" w:cs="Times New Roman"/>
          <w:b w:val="0"/>
          <w:bCs w:val="0"/>
          <w:sz w:val="32"/>
          <w:szCs w:val="32"/>
        </w:rPr>
        <w:t>3.1吸附法污染防治设施安全隐患排查要点</w:t>
      </w:r>
      <w:bookmarkEnd w:id="121"/>
    </w:p>
    <w:p w14:paraId="239D9471">
      <w:pPr>
        <w:pStyle w:val="2"/>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1.涉及不同气体进入同一处理装置是否进行安全条件分析，并具有相关证明材料。</w:t>
      </w:r>
    </w:p>
    <w:p w14:paraId="7B806AD6">
      <w:pPr>
        <w:overflowPunct w:val="0"/>
        <w:spacing w:line="560" w:lineRule="exact"/>
        <w:ind w:firstLine="664" w:firstLineChars="200"/>
        <w:rPr>
          <w:rFonts w:hint="default" w:ascii="Times New Roman" w:hAnsi="Times New Roman" w:eastAsia="仿宋_GB2312" w:cs="Times New Roman"/>
          <w:spacing w:val="6"/>
          <w:sz w:val="32"/>
          <w:szCs w:val="32"/>
        </w:rPr>
      </w:pPr>
      <w:r>
        <w:rPr>
          <w:rFonts w:hint="default" w:ascii="Times New Roman" w:hAnsi="Times New Roman" w:eastAsia="仿宋_GB2312" w:cs="Times New Roman"/>
          <w:spacing w:val="6"/>
          <w:sz w:val="32"/>
          <w:szCs w:val="32"/>
        </w:rPr>
        <w:t>2.当吸附床内的温度超过规定温度时，是否能够启动降温设施。</w:t>
      </w:r>
    </w:p>
    <w:p w14:paraId="7BE140DE">
      <w:pPr>
        <w:pStyle w:val="2"/>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3.治理系统事故自动报警装置是否能够正常运行。</w:t>
      </w:r>
    </w:p>
    <w:p w14:paraId="61E0D3EE">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4.是否设置高温报警停车灭火联锁，当吸附过程吸附器温度超过120℃时，系统报警能否正常停车。</w:t>
      </w:r>
    </w:p>
    <w:p w14:paraId="0B166DAC">
      <w:pPr>
        <w:pStyle w:val="2"/>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5.吸附装置内部、催化燃烧器或高温焚烧器的加热室和反应室内部的温度检测装置是否正常运行。</w:t>
      </w:r>
    </w:p>
    <w:p w14:paraId="5A09BF53">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6.吸附单元的压力指示和泄压装置性能是否符合安全技术要求。</w:t>
      </w:r>
    </w:p>
    <w:p w14:paraId="11AC087C">
      <w:pPr>
        <w:pStyle w:val="2"/>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7.当过滤器的阻力超过规定值时是否及时清理或更换过滤材料。</w:t>
      </w:r>
    </w:p>
    <w:p w14:paraId="1AA8CEA2">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8.是否定期检测过滤装置两端的压差。</w:t>
      </w:r>
    </w:p>
    <w:p w14:paraId="0655EA9E">
      <w:pPr>
        <w:pStyle w:val="2"/>
        <w:overflowPunct w:val="0"/>
        <w:spacing w:line="560" w:lineRule="exact"/>
        <w:ind w:firstLine="664" w:firstLineChars="200"/>
        <w:rPr>
          <w:rFonts w:hint="default" w:ascii="Times New Roman" w:hAnsi="Times New Roman" w:eastAsia="仿宋_GB2312" w:cs="Times New Roman"/>
          <w:spacing w:val="6"/>
          <w:sz w:val="32"/>
          <w:szCs w:val="32"/>
        </w:rPr>
      </w:pPr>
      <w:r>
        <w:rPr>
          <w:rFonts w:hint="default" w:ascii="Times New Roman" w:hAnsi="Times New Roman" w:eastAsia="仿宋_GB2312" w:cs="Times New Roman"/>
          <w:spacing w:val="6"/>
          <w:sz w:val="32"/>
          <w:szCs w:val="32"/>
        </w:rPr>
        <w:t>9.治理系统与主体生产装置间的管道是否安装阻火器(防火阀)。</w:t>
      </w:r>
    </w:p>
    <w:p w14:paraId="06A5DACF">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10.所有现场设施是否不低于现场防爆等级。</w:t>
      </w:r>
    </w:p>
    <w:p w14:paraId="4704BAA5">
      <w:pPr>
        <w:pStyle w:val="2"/>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11.废气管线是否具有防静电措施。</w:t>
      </w:r>
    </w:p>
    <w:p w14:paraId="3A4F7C31">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12.设施是否具备短路保护和接地保护设施。</w:t>
      </w:r>
    </w:p>
    <w:p w14:paraId="6BFFEBAC">
      <w:pPr>
        <w:pStyle w:val="2"/>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13.设施是否配备消防灭火设施。</w:t>
      </w:r>
    </w:p>
    <w:p w14:paraId="4DB5F458">
      <w:pPr>
        <w:overflowPunct w:val="0"/>
        <w:spacing w:line="560" w:lineRule="exact"/>
        <w:ind w:firstLine="640" w:firstLineChars="200"/>
        <w:rPr>
          <w:rFonts w:hint="default" w:ascii="Times New Roman" w:hAnsi="Times New Roman" w:eastAsia="仿宋_GB2312" w:cs="Times New Roman"/>
          <w:b w:val="0"/>
          <w:bCs w:val="0"/>
          <w:sz w:val="32"/>
          <w:szCs w:val="32"/>
        </w:rPr>
      </w:pPr>
      <w:bookmarkStart w:id="122" w:name="_Toc2848_WPSOffice_Level3"/>
      <w:r>
        <w:rPr>
          <w:rFonts w:hint="default" w:ascii="Times New Roman" w:hAnsi="Times New Roman" w:eastAsia="仿宋_GB2312" w:cs="Times New Roman"/>
          <w:b w:val="0"/>
          <w:bCs w:val="0"/>
          <w:sz w:val="32"/>
          <w:szCs w:val="32"/>
        </w:rPr>
        <w:t>3.2吸收法污染防治设施安全隐患排查要点</w:t>
      </w:r>
      <w:bookmarkEnd w:id="122"/>
    </w:p>
    <w:p w14:paraId="603C6E07">
      <w:pPr>
        <w:pStyle w:val="2"/>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1.涉及不同气体进入同一处理装置是否进行安全条件分析，并具有相关证明材料。</w:t>
      </w:r>
    </w:p>
    <w:p w14:paraId="561AA34C">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2.装置本体主体的表面温度是否不高于60℃。</w:t>
      </w:r>
    </w:p>
    <w:p w14:paraId="209D747D">
      <w:pPr>
        <w:pStyle w:val="2"/>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3.控制温度的单元是否设置温度指示装置、超温声光报警装置及应急处理系统，需控制压力的单元是否设置压力指示和泄压装置。</w:t>
      </w:r>
    </w:p>
    <w:p w14:paraId="149AD6A9">
      <w:pPr>
        <w:pStyle w:val="2"/>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4.由计算机控制的净化装置是否具备手动操作功能。</w:t>
      </w:r>
    </w:p>
    <w:p w14:paraId="71C85754">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5.吸收塔是否采用液位自控仪、pH自控仪和ORP自控仪等，加药槽是否配备液位报警装置，加药方式是否采用自动加药。</w:t>
      </w:r>
    </w:p>
    <w:p w14:paraId="2A676051">
      <w:pPr>
        <w:pStyle w:val="2"/>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6.排除燃烧或爆炸危险气体时，排风设备是否布置在除地下或半地下建筑(室)以外的位置。</w:t>
      </w:r>
    </w:p>
    <w:p w14:paraId="375DF40B">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7.排除燃烧或爆炸危险气体时，排风设备和风管是否设置导除静电的接地装置。</w:t>
      </w:r>
    </w:p>
    <w:p w14:paraId="6767D4D9">
      <w:pPr>
        <w:pStyle w:val="2"/>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8.排除燃烧或爆炸危险气体时，当风管法兰密封垫料或螺栓垫圈采用非金属材料时，是否采取法兰跨接的措施。</w:t>
      </w:r>
    </w:p>
    <w:p w14:paraId="715E2C50">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9.风管内可能产生凝结水或其他液体，是否在风管最低点设置排水装置。</w:t>
      </w:r>
    </w:p>
    <w:p w14:paraId="59656276">
      <w:pPr>
        <w:pStyle w:val="2"/>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10.直接设置在甲、乙类厂房、仓库及其他厂房中有爆炸危险区域的排风设备，风机和电机是否采用防爆型。</w:t>
      </w:r>
    </w:p>
    <w:p w14:paraId="01386E3C">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11.直接设置在甲、乙类厂房、仓库及其他厂房中有爆炸危险区域的排风设备，风机和电机之间是否未采用皮带传动。</w:t>
      </w:r>
    </w:p>
    <w:p w14:paraId="7405605B">
      <w:pPr>
        <w:pStyle w:val="2"/>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12.排除有燃烧或爆炸危险物质的风管是否未穿过防火墙和有爆炸危险的车间隔墙。</w:t>
      </w:r>
    </w:p>
    <w:p w14:paraId="131CD2FF">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13.排除有燃烧或爆炸危险物质的风管是否未穿过人员密集或可燃物较多的房间。</w:t>
      </w:r>
    </w:p>
    <w:p w14:paraId="227ECD3B">
      <w:pPr>
        <w:pStyle w:val="2"/>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14.可燃气体管道、可燃液体管道和电缆线等是否未穿过风管的内腔，并不得沿风管的外壁敷设。</w:t>
      </w:r>
    </w:p>
    <w:p w14:paraId="26C26532">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15.可燃气体管道、可燃液体管道和电缆线是否未沿风管外壁敷设。</w:t>
      </w:r>
    </w:p>
    <w:p w14:paraId="2316B51F">
      <w:pPr>
        <w:pStyle w:val="2"/>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16.排除有燃烧或爆炸危险气体、粉尘时，是否采用防爆风机和电机。</w:t>
      </w:r>
    </w:p>
    <w:p w14:paraId="1AD8392B">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17.风机传动装置的外露部位是否设有防护罩、防护网或采取其他安全防护措施。</w:t>
      </w:r>
    </w:p>
    <w:p w14:paraId="7C1EBFBB">
      <w:pPr>
        <w:pStyle w:val="2"/>
        <w:overflowPunct w:val="0"/>
        <w:spacing w:line="560" w:lineRule="exact"/>
        <w:ind w:firstLine="664" w:firstLineChars="200"/>
        <w:rPr>
          <w:rFonts w:hint="default" w:ascii="Times New Roman" w:hAnsi="Times New Roman" w:eastAsia="仿宋_GB2312" w:cs="Times New Roman"/>
          <w:spacing w:val="6"/>
          <w:sz w:val="32"/>
          <w:szCs w:val="32"/>
        </w:rPr>
      </w:pPr>
      <w:r>
        <w:rPr>
          <w:rFonts w:hint="default" w:ascii="Times New Roman" w:hAnsi="Times New Roman" w:eastAsia="仿宋_GB2312" w:cs="Times New Roman"/>
          <w:spacing w:val="6"/>
          <w:sz w:val="32"/>
          <w:szCs w:val="32"/>
        </w:rPr>
        <w:t>18.吸收塔上是否设置检视窗和维修入口，并设有安全标志牌。</w:t>
      </w:r>
    </w:p>
    <w:p w14:paraId="0FC65AE6">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19.是否设专人定期检查管道与设备连接的焊缝处、阀门密封垫片处、管段的变径和弯头处等位置，防止废气泄漏。</w:t>
      </w:r>
    </w:p>
    <w:p w14:paraId="75FA868D">
      <w:pPr>
        <w:pStyle w:val="2"/>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20.是否落实有限空间作业安全风险辨识、作业过程风险防控、作业事故应急救援等安全要求。</w:t>
      </w:r>
    </w:p>
    <w:p w14:paraId="184A2712">
      <w:pPr>
        <w:pStyle w:val="2"/>
        <w:overflowPunct w:val="0"/>
        <w:spacing w:line="560" w:lineRule="exact"/>
        <w:ind w:firstLine="640" w:firstLineChars="200"/>
        <w:rPr>
          <w:rFonts w:hint="default" w:ascii="Times New Roman" w:hAnsi="Times New Roman" w:eastAsia="楷体_GB2312" w:cs="Times New Roman"/>
          <w:b w:val="0"/>
          <w:bCs w:val="0"/>
          <w:kern w:val="2"/>
          <w:sz w:val="32"/>
          <w:szCs w:val="32"/>
          <w:lang w:val="en-US" w:eastAsia="zh-CN" w:bidi="ar-SA"/>
        </w:rPr>
      </w:pPr>
      <w:bookmarkStart w:id="123" w:name="_Toc25825191_WPSOffice_Level2"/>
      <w:bookmarkStart w:id="124" w:name="_Toc5636_WPSOffice_Level2"/>
      <w:r>
        <w:rPr>
          <w:rFonts w:hint="default" w:ascii="Times New Roman" w:hAnsi="Times New Roman" w:eastAsia="楷体_GB2312" w:cs="Times New Roman"/>
          <w:b w:val="0"/>
          <w:bCs w:val="0"/>
          <w:kern w:val="2"/>
          <w:sz w:val="32"/>
          <w:szCs w:val="32"/>
          <w:lang w:val="en-US" w:eastAsia="zh-CN" w:bidi="ar-SA"/>
        </w:rPr>
        <w:t>（四）粉尘污染防治设施安全隐患排查要点</w:t>
      </w:r>
      <w:bookmarkEnd w:id="123"/>
      <w:bookmarkEnd w:id="124"/>
    </w:p>
    <w:p w14:paraId="4E79F296">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1.涉及不同气体进入同一处理装置是否进行安全条件分析，并具有相关证明材料。</w:t>
      </w:r>
    </w:p>
    <w:p w14:paraId="605CB556">
      <w:pPr>
        <w:pStyle w:val="2"/>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2.涉粉尘爆炸危险场所除尘系统，是否按不同工艺分区域相对独立设置，不同防火分区的除尘系统禁止互联互通。</w:t>
      </w:r>
    </w:p>
    <w:p w14:paraId="128C053A">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3.可燃性粉尘与可燃气体等易加剧爆炸危险的介质是否未共用一套除尘系统。</w:t>
      </w:r>
    </w:p>
    <w:p w14:paraId="7FB0178F">
      <w:pPr>
        <w:pStyle w:val="2"/>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4.不同类别的可燃性粉尘是否未合用同一除尘系统。</w:t>
      </w:r>
    </w:p>
    <w:p w14:paraId="3FB7A04F">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5.不同防火分区的除尘系统是否未互联互通。</w:t>
      </w:r>
    </w:p>
    <w:p w14:paraId="121E22DF">
      <w:pPr>
        <w:pStyle w:val="2"/>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6.涉粉尘爆炸危险场所除尘系统与带有可燃气体、高温气体或其他工业气体的风管及设备是否未连通。</w:t>
      </w:r>
    </w:p>
    <w:p w14:paraId="765033E8">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7.涉粉尘爆炸危险场所除尘系统的导电部位是否进行等电位连接，并接地。</w:t>
      </w:r>
    </w:p>
    <w:p w14:paraId="3A0B2DC2">
      <w:pPr>
        <w:pStyle w:val="2"/>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8.铝镁等金属粉尘和木制品粉尘是否采用负压吹送的除尘系统。</w:t>
      </w:r>
    </w:p>
    <w:p w14:paraId="3784DC5B">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9.涉粉尘爆炸危险场所除尘系统的风管及除尘器不应有火花进入，对存在火花经由吸尘罩或吸尘柜吸入风管危险的生产加工系统，是否采用阻隔火花进入风管及除尘器的措施，并在风管上安装火花探测报警装置和火花熄灭装置。</w:t>
      </w:r>
    </w:p>
    <w:p w14:paraId="6878BC3F">
      <w:pPr>
        <w:pStyle w:val="2"/>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10.涉粉尘爆炸危险场所除尘系统，是否未采用干式静电除尘器和重力沉降室除尘。</w:t>
      </w:r>
    </w:p>
    <w:p w14:paraId="2989C21D">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11.粉尘遇水后，能产生可燃或有爆炸危险的物质时，是否未采用湿式除尘器。</w:t>
      </w:r>
    </w:p>
    <w:p w14:paraId="0EB4FF47">
      <w:pPr>
        <w:pStyle w:val="2"/>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12.涉粉尘爆炸危险场所的袋式除尘器进、出风口是否设置风压差监测报警装置，并记录压差数据。</w:t>
      </w:r>
    </w:p>
    <w:p w14:paraId="6EAE9C28">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13.涉粉尘爆炸危险场所的袋式除尘器在风压差偏离设定值时监测装置是否能够发出声光报警信号。</w:t>
      </w:r>
    </w:p>
    <w:p w14:paraId="69B04A9B">
      <w:pPr>
        <w:pStyle w:val="2"/>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14.涉粉尘爆炸危险场所的袋式除尘器是否未采用机械振打方式。</w:t>
      </w:r>
    </w:p>
    <w:p w14:paraId="1A4B2A7D">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15.涉粉尘爆炸危险场所的干式除尘器是否设置有锁气卸灰装置，及时清卸灰仓内的积灰。</w:t>
      </w:r>
    </w:p>
    <w:p w14:paraId="101B04F3">
      <w:pPr>
        <w:pStyle w:val="2"/>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16.涉粉尘爆炸危险场所，对安装在室外的干式除尘器，其进风管上是否设置隔爆阀。</w:t>
      </w:r>
    </w:p>
    <w:p w14:paraId="3CDFF870">
      <w:pPr>
        <w:overflowPunct w:val="0"/>
        <w:spacing w:line="560" w:lineRule="exact"/>
        <w:ind w:firstLine="640" w:firstLineChars="200"/>
        <w:rPr>
          <w:rFonts w:hint="default" w:ascii="Times New Roman" w:hAnsi="Times New Roman" w:eastAsia="仿宋_GB2312" w:cs="Times New Roman"/>
          <w:spacing w:val="6"/>
          <w:sz w:val="32"/>
          <w:szCs w:val="32"/>
        </w:rPr>
      </w:pPr>
      <w:r>
        <w:rPr>
          <w:rFonts w:hint="default" w:ascii="Times New Roman" w:hAnsi="Times New Roman" w:eastAsia="仿宋_GB2312" w:cs="Times New Roman"/>
          <w:sz w:val="32"/>
          <w:szCs w:val="32"/>
        </w:rPr>
        <w:t>17.涉粉尘爆炸危险场所的湿式除尘器是否设置水量、水压</w:t>
      </w:r>
      <w:r>
        <w:rPr>
          <w:rFonts w:hint="default" w:ascii="Times New Roman" w:hAnsi="Times New Roman" w:eastAsia="仿宋_GB2312" w:cs="Times New Roman"/>
          <w:spacing w:val="6"/>
          <w:sz w:val="32"/>
          <w:szCs w:val="32"/>
        </w:rPr>
        <w:t>监测报警装置，当水量、水压低于设定值时应发出声、光报警信号。</w:t>
      </w:r>
    </w:p>
    <w:p w14:paraId="7C70EBFB">
      <w:pPr>
        <w:pStyle w:val="2"/>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18.在铝镁等金属粉尘湿式除尘系统是否安装与打磨抛光设备联锁的液位、流速监测报警装置，并保持作业场所和除尘器本体良好通风，防止氢气积聚。</w:t>
      </w:r>
    </w:p>
    <w:p w14:paraId="37906CF7">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19.涉粉尘爆炸危险场所的干式除尘系统是否按照可燃性粉尘爆炸特性采取预防和控制粉尘爆炸的措施，选用泄爆装置、惰化装置、隔爆装置、抑爆装置中降低爆炸危险的一种或多种防爆装置。</w:t>
      </w:r>
    </w:p>
    <w:p w14:paraId="226A0422">
      <w:pPr>
        <w:pStyle w:val="2"/>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20.涉粉尘爆炸危险场所的湿式除尘器有结露或冻结可能时，是否采取保温、伴热等措施。</w:t>
      </w:r>
    </w:p>
    <w:p w14:paraId="627F6BD1">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21.企业是否建立粉尘爆炸危险场所的粉尘清理制度，并且在粉尘爆炸危险场所醒目位置，明确标识清理范围、清理周期、清理方式和责任人。</w:t>
      </w:r>
    </w:p>
    <w:p w14:paraId="4D4720A3">
      <w:pPr>
        <w:pStyle w:val="2"/>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22.是否确保对粉尘作业场所和除尘系统等设备设施及时规范清理。</w:t>
      </w:r>
    </w:p>
    <w:p w14:paraId="3A880271">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23.是否未使用压缩空气吹扫清理粉尘作业场所和除尘系统中粉尘。</w:t>
      </w:r>
    </w:p>
    <w:p w14:paraId="717EDB9D">
      <w:pPr>
        <w:pStyle w:val="2"/>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24.对遇湿发热易于自燃的金属粉尘，收集、储存时是否采取防水防潮措施。</w:t>
      </w:r>
    </w:p>
    <w:p w14:paraId="5DFBCC42">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25.人员是否严格执行粉尘清理制度，定期清理并如实记录。</w:t>
      </w:r>
    </w:p>
    <w:p w14:paraId="168C94CD">
      <w:pPr>
        <w:pStyle w:val="2"/>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26.是否对除尘系统的检维修作业，实行作业审批制度。</w:t>
      </w:r>
    </w:p>
    <w:p w14:paraId="078DB020">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27.除尘系统检维修作业前，是否制定专项方案。</w:t>
      </w:r>
    </w:p>
    <w:p w14:paraId="57965C68">
      <w:pPr>
        <w:pStyle w:val="2"/>
        <w:overflowPunct w:val="0"/>
        <w:spacing w:line="560" w:lineRule="exact"/>
        <w:ind w:firstLine="664"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pacing w:val="6"/>
          <w:sz w:val="32"/>
          <w:szCs w:val="32"/>
        </w:rPr>
        <w:t>28.除尘系统检维修作业前，对存在粉尘沉积的除尘器、管道等设施设备是否清理干净内部积尘和作业区域的可燃性粉尘。</w:t>
      </w:r>
    </w:p>
    <w:p w14:paraId="46AE551B">
      <w:pPr>
        <w:overflowPunct w:val="0"/>
        <w:spacing w:line="560" w:lineRule="exact"/>
        <w:ind w:firstLine="664" w:firstLineChars="200"/>
        <w:rPr>
          <w:rFonts w:hint="default" w:ascii="Times New Roman" w:hAnsi="Times New Roman" w:eastAsia="仿宋_GB2312" w:cs="Times New Roman"/>
          <w:spacing w:val="6"/>
          <w:sz w:val="32"/>
          <w:szCs w:val="32"/>
        </w:rPr>
      </w:pPr>
      <w:r>
        <w:rPr>
          <w:rFonts w:hint="default" w:ascii="Times New Roman" w:hAnsi="Times New Roman" w:eastAsia="仿宋_GB2312" w:cs="Times New Roman"/>
          <w:spacing w:val="6"/>
          <w:sz w:val="32"/>
          <w:szCs w:val="32"/>
        </w:rPr>
        <w:t>29.除尘系统检维修作业时，生产设备是否处于停止运行状态。</w:t>
      </w:r>
    </w:p>
    <w:p w14:paraId="44CFC2EE">
      <w:pPr>
        <w:pStyle w:val="2"/>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30.除尘系统检维修作业时，检维修工具是否采用防止产生火花的防爆工具。</w:t>
      </w:r>
    </w:p>
    <w:p w14:paraId="776C9C28">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31.除尘系统检维修作业后，是否妥善清理现场，作业点最高温度恢复到常温后方可重新开始生产。</w:t>
      </w:r>
    </w:p>
    <w:p w14:paraId="5670B0CF">
      <w:pPr>
        <w:pStyle w:val="2"/>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32.除尘系统检维修作业后，作业点最高温度是否恢复到常温后方可重新开始生产。</w:t>
      </w:r>
    </w:p>
    <w:p w14:paraId="3635EF84">
      <w:pPr>
        <w:overflowPunct w:val="0"/>
        <w:spacing w:line="560" w:lineRule="exact"/>
        <w:ind w:firstLine="640" w:firstLineChars="200"/>
        <w:rPr>
          <w:rFonts w:hint="default" w:ascii="Times New Roman" w:hAnsi="Times New Roman" w:cs="Times New Roman"/>
          <w:sz w:val="32"/>
          <w:szCs w:val="32"/>
        </w:rPr>
      </w:pPr>
      <w:r>
        <w:rPr>
          <w:rFonts w:hint="default" w:ascii="Times New Roman" w:hAnsi="Times New Roman" w:eastAsia="仿宋_GB2312" w:cs="Times New Roman"/>
          <w:sz w:val="32"/>
          <w:szCs w:val="32"/>
        </w:rPr>
        <w:t>33.除尘器收集的粉尘，应按照国家、行业、地方相关标准的要求，采取妥善的回收和处理措施。</w:t>
      </w:r>
    </w:p>
    <w:p w14:paraId="6AD6C3AB">
      <w:pPr>
        <w:pStyle w:val="2"/>
        <w:overflowPunct w:val="0"/>
        <w:spacing w:line="560" w:lineRule="exact"/>
        <w:ind w:firstLine="640" w:firstLineChars="200"/>
        <w:rPr>
          <w:rFonts w:hint="default" w:ascii="Times New Roman" w:hAnsi="Times New Roman" w:eastAsia="楷体_GB2312" w:cs="Times New Roman"/>
          <w:b w:val="0"/>
          <w:bCs w:val="0"/>
          <w:kern w:val="2"/>
          <w:sz w:val="32"/>
          <w:szCs w:val="32"/>
          <w:lang w:val="en-US" w:eastAsia="zh-CN" w:bidi="ar-SA"/>
        </w:rPr>
      </w:pPr>
      <w:bookmarkStart w:id="125" w:name="_Toc620917229_WPSOffice_Level2"/>
      <w:bookmarkStart w:id="126" w:name="_Toc15548_WPSOffice_Level2"/>
      <w:r>
        <w:rPr>
          <w:rFonts w:hint="default" w:ascii="Times New Roman" w:hAnsi="Times New Roman" w:eastAsia="楷体_GB2312" w:cs="Times New Roman"/>
          <w:b w:val="0"/>
          <w:bCs w:val="0"/>
          <w:kern w:val="2"/>
          <w:sz w:val="32"/>
          <w:szCs w:val="32"/>
          <w:lang w:val="en-US" w:eastAsia="zh-CN" w:bidi="ar-SA"/>
        </w:rPr>
        <w:t>（五）蓄热式焚烧炉(RTO)污染防治设施安全隐患排查要点</w:t>
      </w:r>
      <w:bookmarkEnd w:id="125"/>
      <w:bookmarkEnd w:id="126"/>
    </w:p>
    <w:p w14:paraId="6591D466">
      <w:pPr>
        <w:pStyle w:val="2"/>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1.RTO炉系统是否进行安全风险评估论证。</w:t>
      </w:r>
    </w:p>
    <w:p w14:paraId="17F149BD">
      <w:pPr>
        <w:pStyle w:val="2"/>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2.RTO炉系统对于废气成分复杂的，是否进行HAZOP(危险和可操作性)分析并采取相应的安全措施。</w:t>
      </w:r>
    </w:p>
    <w:p w14:paraId="001EBF86">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3.设施换向阀类型是否采用提升阀、旋转阀、蝶阀等类型。</w:t>
      </w:r>
    </w:p>
    <w:p w14:paraId="60C80A77">
      <w:pPr>
        <w:pStyle w:val="2"/>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4.设施换向阀材质是否耐磨、耐高温、耐腐蚀。</w:t>
      </w:r>
    </w:p>
    <w:p w14:paraId="6BD10671">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5.电气仪表设备是否严格按照防爆等级设计。</w:t>
      </w:r>
    </w:p>
    <w:p w14:paraId="3A97AA9A">
      <w:pPr>
        <w:pStyle w:val="2"/>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6.管道或炉膛内是否设置泄爆片。</w:t>
      </w:r>
    </w:p>
    <w:p w14:paraId="3486E65B">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7.设施与主体生产工艺设备之间的管道系统中是否安装防火气体或防火阀，保证有效的防止回火要求。</w:t>
      </w:r>
    </w:p>
    <w:p w14:paraId="37146DC3">
      <w:pPr>
        <w:pStyle w:val="2"/>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8.RTO系统与生产、风管压力计、中级风机、浓度检测仪等连锁控制，是否安装在线监控系统并纳入生产管理监控，避免生产与环保脱节。</w:t>
      </w:r>
    </w:p>
    <w:p w14:paraId="4D800F8E">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9.是否在前级水洗塔和RTO炉之间相应位置废气总管上设置可燃气体报警仪。</w:t>
      </w:r>
    </w:p>
    <w:p w14:paraId="0171D87E">
      <w:pPr>
        <w:pStyle w:val="2"/>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10.RTO炉系统是否设有故障自动报警和保护装置，并符合安全生产、事故防范的相关规定。</w:t>
      </w:r>
    </w:p>
    <w:p w14:paraId="26BB976F">
      <w:pPr>
        <w:overflowPunct w:val="0"/>
        <w:spacing w:line="560" w:lineRule="exact"/>
        <w:ind w:firstLine="616" w:firstLineChars="200"/>
        <w:rPr>
          <w:rFonts w:hint="default" w:ascii="Times New Roman" w:hAnsi="Times New Roman" w:eastAsia="仿宋_GB2312" w:cs="Times New Roman"/>
          <w:spacing w:val="-6"/>
          <w:sz w:val="32"/>
          <w:szCs w:val="32"/>
        </w:rPr>
      </w:pPr>
      <w:r>
        <w:rPr>
          <w:rFonts w:hint="default" w:ascii="Times New Roman" w:hAnsi="Times New Roman" w:eastAsia="仿宋_GB2312" w:cs="Times New Roman"/>
          <w:spacing w:val="-6"/>
          <w:sz w:val="32"/>
          <w:szCs w:val="32"/>
        </w:rPr>
        <w:t>11.RTO炉系统是否设置规范的过载保护、短路保护、断相保护、接地保护、电源防雷保护等功能，接地电阻应小于4Ω。</w:t>
      </w:r>
    </w:p>
    <w:p w14:paraId="27F24611">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12.RTO炉系统的固定式钢梯、防护栏及平台的安全要求是否符合相关规定，固定式钢梯宜采用斜梯或旋梯。</w:t>
      </w:r>
    </w:p>
    <w:p w14:paraId="213573B4">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13.RTO炉是否具有规范的安全标志、标识。</w:t>
      </w:r>
    </w:p>
    <w:p w14:paraId="53C2290F">
      <w:pPr>
        <w:pStyle w:val="2"/>
        <w:overflowPunct w:val="0"/>
        <w:spacing w:line="560" w:lineRule="exact"/>
        <w:ind w:firstLine="640" w:firstLineChars="200"/>
        <w:rPr>
          <w:rFonts w:hint="default" w:ascii="Times New Roman" w:hAnsi="Times New Roman" w:eastAsia="楷体_GB2312" w:cs="Times New Roman"/>
          <w:b w:val="0"/>
          <w:bCs w:val="0"/>
          <w:kern w:val="2"/>
          <w:sz w:val="32"/>
          <w:szCs w:val="32"/>
          <w:lang w:val="en-US" w:eastAsia="zh-CN" w:bidi="ar-SA"/>
        </w:rPr>
      </w:pPr>
      <w:bookmarkStart w:id="127" w:name="_Toc5113_WPSOffice_Level2"/>
      <w:bookmarkStart w:id="128" w:name="_Toc2135800163_WPSOffice_Level2"/>
      <w:r>
        <w:rPr>
          <w:rFonts w:hint="default" w:ascii="Times New Roman" w:hAnsi="Times New Roman" w:eastAsia="楷体_GB2312" w:cs="Times New Roman"/>
          <w:b w:val="0"/>
          <w:bCs w:val="0"/>
          <w:kern w:val="2"/>
          <w:sz w:val="32"/>
          <w:szCs w:val="32"/>
          <w:lang w:val="en-US" w:eastAsia="zh-CN" w:bidi="ar-SA"/>
        </w:rPr>
        <w:t>（六）废水污染防治设施安全隐患排查要点</w:t>
      </w:r>
      <w:bookmarkEnd w:id="127"/>
      <w:bookmarkEnd w:id="128"/>
    </w:p>
    <w:p w14:paraId="2F8C47D4">
      <w:pPr>
        <w:pStyle w:val="2"/>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1.对可能含有有毒有害气体或可燃性气体的深井、管道、构筑物等设施、设备进行维护、维修操作前是否具有现场的有毒有害气体检测证明。</w:t>
      </w:r>
    </w:p>
    <w:p w14:paraId="249C642A">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2.对可能含有有毒有害气体或可燃性气体的深井、管道、构筑物等设施、设备进行维护、维修操作前是所有参与操作的人员是否佩戴防护装置。</w:t>
      </w:r>
    </w:p>
    <w:p w14:paraId="6F55922C">
      <w:pPr>
        <w:pStyle w:val="2"/>
        <w:overflowPunct w:val="0"/>
        <w:spacing w:line="560" w:lineRule="exact"/>
        <w:ind w:firstLine="664" w:firstLineChars="200"/>
        <w:rPr>
          <w:rFonts w:hint="default" w:ascii="Times New Roman" w:hAnsi="Times New Roman" w:eastAsia="仿宋_GB2312" w:cs="Times New Roman"/>
          <w:spacing w:val="6"/>
          <w:sz w:val="32"/>
          <w:szCs w:val="32"/>
        </w:rPr>
      </w:pPr>
      <w:r>
        <w:rPr>
          <w:rFonts w:hint="default" w:ascii="Times New Roman" w:hAnsi="Times New Roman" w:eastAsia="仿宋_GB2312" w:cs="Times New Roman"/>
          <w:spacing w:val="6"/>
          <w:sz w:val="32"/>
          <w:szCs w:val="32"/>
        </w:rPr>
        <w:t>3.密闭空间检测顺序是否包括测氧含量、测爆、测有毒气体等。</w:t>
      </w:r>
    </w:p>
    <w:p w14:paraId="7B389CE0">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4.可能突然逸出大量有毒物质或易造成急性中毒的化学物质的作业场所是否设置自动报警装置和采取事故通风设施，其通风换气次数不小于12次/小时。</w:t>
      </w:r>
    </w:p>
    <w:p w14:paraId="67C47247">
      <w:pPr>
        <w:pStyle w:val="2"/>
        <w:overflowPunct w:val="0"/>
        <w:spacing w:line="560" w:lineRule="exact"/>
        <w:ind w:firstLine="664" w:firstLineChars="200"/>
        <w:rPr>
          <w:rFonts w:hint="default" w:ascii="Times New Roman" w:hAnsi="Times New Roman" w:eastAsia="仿宋_GB2312" w:cs="Times New Roman"/>
          <w:spacing w:val="6"/>
          <w:sz w:val="32"/>
          <w:szCs w:val="32"/>
        </w:rPr>
      </w:pPr>
      <w:r>
        <w:rPr>
          <w:rFonts w:hint="default" w:ascii="Times New Roman" w:hAnsi="Times New Roman" w:eastAsia="仿宋_GB2312" w:cs="Times New Roman"/>
          <w:spacing w:val="6"/>
          <w:sz w:val="32"/>
          <w:szCs w:val="32"/>
        </w:rPr>
        <w:t>5.机械通风装置的进风口位置，是否设于室外空气洁净的地方。</w:t>
      </w:r>
    </w:p>
    <w:p w14:paraId="16796C9F">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6.当进入臭气收集系统的封闭环境内进行检修维护时，应具备自然通风或强制通风条件，并必须佩戴防毒面具。</w:t>
      </w:r>
    </w:p>
    <w:p w14:paraId="7EACBC86">
      <w:pPr>
        <w:pStyle w:val="2"/>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7.污水处理站是否存放杂物和各种车辆、乱接电源线、为车辆和大功率电器设备提供充电、维修等作业。</w:t>
      </w:r>
    </w:p>
    <w:p w14:paraId="2FB0472A">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8.污水处理设备和管道等因维修、改造应动用明火作业时是否指定专人负责采取各项防火措施。</w:t>
      </w:r>
    </w:p>
    <w:p w14:paraId="535C1351">
      <w:pPr>
        <w:pStyle w:val="2"/>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9.是否配备消防器材，满足作业现场应急需求。</w:t>
      </w:r>
    </w:p>
    <w:p w14:paraId="536DB38C">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10.设备在使用过程中能产生静电时，设备是否设有消除静电装置。</w:t>
      </w:r>
    </w:p>
    <w:p w14:paraId="18036E8A">
      <w:pPr>
        <w:pStyle w:val="2"/>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11.对机械设备的防火防爆是否安装阻火器、防爆片、防爆窗、阻火闸门和安全阀等防火防爆安全装置。</w:t>
      </w:r>
    </w:p>
    <w:p w14:paraId="7BA241BA">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12.设备在有爆炸性气体环境中应用时，所有用电设施是否使用防爆型设备。</w:t>
      </w:r>
    </w:p>
    <w:p w14:paraId="7CC5F14D">
      <w:pPr>
        <w:pStyle w:val="2"/>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13.设备使用时可能产生爆炸性气体时，其排气孔(管)末(外)端是否设有金属防火网和防火装置。</w:t>
      </w:r>
    </w:p>
    <w:p w14:paraId="060119D6">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14.对于活性碳的存放，是否采取防火措施、并按危险品的有关管理规定执行。</w:t>
      </w:r>
    </w:p>
    <w:p w14:paraId="621E70C5">
      <w:pPr>
        <w:pStyle w:val="2"/>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15.是否严格落实有限空间作业管理。</w:t>
      </w:r>
    </w:p>
    <w:p w14:paraId="5EC98B69">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16.对于可能产生CH</w:t>
      </w:r>
      <w:r>
        <w:rPr>
          <w:rFonts w:hint="default" w:ascii="Times New Roman" w:hAnsi="Times New Roman" w:eastAsia="仿宋_GB2312" w:cs="Times New Roman"/>
          <w:sz w:val="32"/>
          <w:szCs w:val="32"/>
          <w:vertAlign w:val="subscript"/>
        </w:rPr>
        <w:t>4</w:t>
      </w:r>
      <w:r>
        <w:rPr>
          <w:rFonts w:hint="default" w:ascii="Times New Roman" w:hAnsi="Times New Roman" w:eastAsia="仿宋_GB2312" w:cs="Times New Roman"/>
          <w:sz w:val="32"/>
          <w:szCs w:val="32"/>
        </w:rPr>
        <w:t>、H</w:t>
      </w:r>
      <w:r>
        <w:rPr>
          <w:rFonts w:hint="default" w:ascii="Times New Roman" w:hAnsi="Times New Roman" w:eastAsia="仿宋_GB2312" w:cs="Times New Roman"/>
          <w:sz w:val="32"/>
          <w:szCs w:val="32"/>
          <w:vertAlign w:val="subscript"/>
        </w:rPr>
        <w:t>2</w:t>
      </w:r>
      <w:r>
        <w:rPr>
          <w:rFonts w:hint="default" w:ascii="Times New Roman" w:hAnsi="Times New Roman" w:eastAsia="仿宋_GB2312" w:cs="Times New Roman"/>
          <w:sz w:val="32"/>
          <w:szCs w:val="32"/>
        </w:rPr>
        <w:t>S等气体的污水高位储罐废气排放口是否设置水封。</w:t>
      </w:r>
    </w:p>
    <w:p w14:paraId="4819CAF6">
      <w:pPr>
        <w:pStyle w:val="2"/>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17.污水处理设施(场、站)中易产生和聚集易燃易爆气体的场所是否设置可燃气体报警仪。</w:t>
      </w:r>
    </w:p>
    <w:p w14:paraId="79868AC0">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18.污水处理系统是否使用防爆型电气设备。</w:t>
      </w:r>
    </w:p>
    <w:p w14:paraId="1E4D1243">
      <w:pPr>
        <w:pStyle w:val="2"/>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19.循环冷却水站是否设置在爆炸危险区域外。</w:t>
      </w:r>
    </w:p>
    <w:p w14:paraId="7CB3381E">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20.当位于爆炸危险区域以内时，其电气设备设计，是否符合现行国家有关防爆标准的规定。</w:t>
      </w:r>
    </w:p>
    <w:p w14:paraId="21C8CC31">
      <w:pPr>
        <w:pStyle w:val="2"/>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21.隔油池的保护高度是否小于4m。</w:t>
      </w:r>
    </w:p>
    <w:p w14:paraId="57D0384C">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22.隔油池是否设置难燃烧材料的盖板。</w:t>
      </w:r>
    </w:p>
    <w:p w14:paraId="36AA2357">
      <w:pPr>
        <w:pStyle w:val="2"/>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23.隔油池的进出水管道是否设水封。距隔油池池壁密封要求是5m以内。</w:t>
      </w:r>
    </w:p>
    <w:p w14:paraId="2CD8EC45">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24.污水处理场内的设备、建(构)筑物平面布置防火间距不应小于15m。</w:t>
      </w:r>
    </w:p>
    <w:p w14:paraId="4B114846">
      <w:pPr>
        <w:pStyle w:val="2"/>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25.对沉砂池上的电气设备是否做好防潮湿，抗腐蚀处理。</w:t>
      </w:r>
    </w:p>
    <w:p w14:paraId="0EF7EED0">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26.橡皮材质曝气器的曝晒时间是否太长。</w:t>
      </w:r>
    </w:p>
    <w:p w14:paraId="1BDA2A84">
      <w:pPr>
        <w:pStyle w:val="2"/>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27.对于厂区内中输送液碱、次氯酸钠、盐酸、废水、废气的管道，机泵、风机等输送设备是否根据物料特性选择耐腐蚀的材质。</w:t>
      </w:r>
    </w:p>
    <w:p w14:paraId="78C5D90E">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28.构(建)筑物上的金属器件是否根据腐蚀情况进行防腐处理，原液池、溶液池、储泥池和生化池等池体防腐要求是否符合相关要求。</w:t>
      </w:r>
    </w:p>
    <w:p w14:paraId="457B0796">
      <w:pPr>
        <w:pStyle w:val="2"/>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27.室外仪表箱(柜)的维护是否保持清洁。</w:t>
      </w:r>
    </w:p>
    <w:p w14:paraId="78522402">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28.污水处理池的池体是否采用现浇钢筋混凝土结构，池体不宜设置伸缩缝，必须设置时，构造应严密，是否满足防腐蚀和变形的要求。</w:t>
      </w:r>
    </w:p>
    <w:p w14:paraId="0D07C02F">
      <w:pPr>
        <w:pStyle w:val="2"/>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29.采用液氯消毒时，氯库需是否具备报警装置及防护用具；是否制定维护保养手册及事故应急预案并定期修订。</w:t>
      </w:r>
    </w:p>
    <w:p w14:paraId="7A37DB94">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30.化学清洗间用于化学清洗的酸、碱泵，是否按设备使用要求，定期检查和添加养护用油。</w:t>
      </w:r>
    </w:p>
    <w:p w14:paraId="211537A9">
      <w:pPr>
        <w:pStyle w:val="2"/>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31.构(建)筑物渗漏维修及维护是否定期实行。</w:t>
      </w:r>
    </w:p>
    <w:p w14:paraId="3297E675">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32.地上明管渗漏情况和地下管线上方路面情况是否符合安全管理要求。</w:t>
      </w:r>
    </w:p>
    <w:p w14:paraId="465B95C0">
      <w:pPr>
        <w:pStyle w:val="2"/>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33.是否定期对厌氧系统进行有效的检测和维护，如果发现泄漏，是否立即进行停气修复。</w:t>
      </w:r>
    </w:p>
    <w:p w14:paraId="4BD533CF">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34.检修过的厌氧反应池、管道和贮存柜等相关设施，重新投入使用前是否进行气密性试验。</w:t>
      </w:r>
    </w:p>
    <w:p w14:paraId="6F00A0B2">
      <w:pPr>
        <w:pStyle w:val="2"/>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35.设备中设有自动控制装置时，是否配有手动装置、安全报警设施及互锁功能设施。</w:t>
      </w:r>
    </w:p>
    <w:p w14:paraId="702ADF3B">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36.设备中皮带、齿轮、联轴器等传动部分是否设有防护罩。</w:t>
      </w:r>
    </w:p>
    <w:p w14:paraId="2ECBEAF3">
      <w:pPr>
        <w:pStyle w:val="2"/>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37.设备底脚是否有可固定的孔或可焊接的底板。</w:t>
      </w:r>
    </w:p>
    <w:p w14:paraId="288B9A11">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38.危险部位是否悬挂相关安全警示标识。</w:t>
      </w:r>
    </w:p>
    <w:p w14:paraId="24A4C8D3">
      <w:pPr>
        <w:pStyle w:val="2"/>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39.电气设备是否绝缘无破损，裸露部分是否有防护。</w:t>
      </w:r>
    </w:p>
    <w:p w14:paraId="0CC842DE">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40.设备是否进行静电接地。</w:t>
      </w:r>
    </w:p>
    <w:p w14:paraId="5E167A27">
      <w:pPr>
        <w:pStyle w:val="2"/>
        <w:overflowPunct w:val="0"/>
        <w:spacing w:line="560" w:lineRule="exact"/>
        <w:ind w:firstLine="664" w:firstLineChars="200"/>
        <w:rPr>
          <w:rFonts w:hint="default" w:ascii="Times New Roman" w:hAnsi="Times New Roman" w:eastAsia="仿宋_GB2312" w:cs="Times New Roman"/>
          <w:spacing w:val="6"/>
          <w:sz w:val="32"/>
          <w:szCs w:val="32"/>
        </w:rPr>
      </w:pPr>
      <w:r>
        <w:rPr>
          <w:rFonts w:hint="default" w:ascii="Times New Roman" w:hAnsi="Times New Roman" w:eastAsia="仿宋_GB2312" w:cs="Times New Roman"/>
          <w:spacing w:val="6"/>
          <w:sz w:val="32"/>
          <w:szCs w:val="32"/>
        </w:rPr>
        <w:t>41.电机控制开关是否设有漏电保护器，是否有紧急停机按钮。</w:t>
      </w:r>
    </w:p>
    <w:p w14:paraId="0463C25B">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42.电气灭火器材是否齐全，员工是否懂得灭火知识。</w:t>
      </w:r>
    </w:p>
    <w:p w14:paraId="4C4E25A0">
      <w:pPr>
        <w:pStyle w:val="2"/>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43.电气设备的控制按钮是否有警告牌，以备电气设备修理时使用。</w:t>
      </w:r>
    </w:p>
    <w:p w14:paraId="3418DCC0">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44.安全用具、绝缘鞋、绝缘手套是否配备。</w:t>
      </w:r>
    </w:p>
    <w:p w14:paraId="20F4CC0A">
      <w:pPr>
        <w:pStyle w:val="2"/>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45.防护栏杆高度是否满足当平台、通道及作业场所距基准面高度小于2m时，防护栏高度应不低于9m;在距基准面高度大于等于2m并小于20m的平台、通道及作业场所的防护栏杆高度应不低于10.5m;在距基准面高度不小于20m的平台、通道及作业场所的防护栏杆高度应不低于12m。</w:t>
      </w:r>
    </w:p>
    <w:p w14:paraId="1EB922C9">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46.操作平台是否平整防滑，没有障碍物。</w:t>
      </w:r>
    </w:p>
    <w:p w14:paraId="4A1C3A0D">
      <w:pPr>
        <w:pStyle w:val="2"/>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47.在构筑物上是否配备救生圈、安全绳等救生用品，并定期检查和更换。</w:t>
      </w:r>
    </w:p>
    <w:p w14:paraId="6BDA4F49">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48.污水处理厂内的钢格板、铁栅栏、检查井盖、压力井盖是否定期检查，腐蚀严重、缺失、损坏的是否及时更换和维修。</w:t>
      </w:r>
    </w:p>
    <w:p w14:paraId="1BF65DC2">
      <w:pPr>
        <w:pStyle w:val="2"/>
        <w:overflowPunct w:val="0"/>
        <w:spacing w:line="560" w:lineRule="exact"/>
        <w:ind w:firstLine="640" w:firstLineChars="200"/>
        <w:rPr>
          <w:rFonts w:hint="default" w:ascii="Times New Roman" w:hAnsi="Times New Roman" w:eastAsia="楷体_GB2312" w:cs="Times New Roman"/>
          <w:b w:val="0"/>
          <w:bCs w:val="0"/>
          <w:kern w:val="2"/>
          <w:sz w:val="32"/>
          <w:szCs w:val="32"/>
          <w:lang w:val="en-US" w:eastAsia="zh-CN" w:bidi="ar-SA"/>
        </w:rPr>
      </w:pPr>
      <w:bookmarkStart w:id="129" w:name="_Toc30787_WPSOffice_Level2"/>
      <w:bookmarkStart w:id="130" w:name="_Toc1417859926_WPSOffice_Level2"/>
      <w:r>
        <w:rPr>
          <w:rFonts w:hint="default" w:ascii="Times New Roman" w:hAnsi="Times New Roman" w:eastAsia="楷体_GB2312" w:cs="Times New Roman"/>
          <w:b w:val="0"/>
          <w:bCs w:val="0"/>
          <w:kern w:val="2"/>
          <w:sz w:val="32"/>
          <w:szCs w:val="32"/>
          <w:lang w:val="en-US" w:eastAsia="zh-CN" w:bidi="ar-SA"/>
        </w:rPr>
        <w:t>（七）危险废物污染防治设施安全隐患排查要点</w:t>
      </w:r>
      <w:bookmarkEnd w:id="129"/>
      <w:bookmarkEnd w:id="130"/>
    </w:p>
    <w:p w14:paraId="4579F1F3">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1.贮存设施是否具备固定防雨、防扬散、防流失、防渗漏等措施。</w:t>
      </w:r>
    </w:p>
    <w:p w14:paraId="7A26B7E4">
      <w:pPr>
        <w:pStyle w:val="2"/>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2.贮存设施是否按防爆空间要求设置电气设备。</w:t>
      </w:r>
    </w:p>
    <w:p w14:paraId="5B55C470">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3.是否按规定设置警示标志。</w:t>
      </w:r>
    </w:p>
    <w:p w14:paraId="259B7629">
      <w:pPr>
        <w:pStyle w:val="2"/>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4.是否配备通讯设备、照明设施、消防设施和应急防护用品。</w:t>
      </w:r>
    </w:p>
    <w:p w14:paraId="7CD74BBC">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5.贮存设施的出入口、设施内部等关键位置是否设置视频监控，并与中控室联网。</w:t>
      </w:r>
    </w:p>
    <w:p w14:paraId="7385A5B8">
      <w:pPr>
        <w:pStyle w:val="2"/>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6.根据危险废物种类和特性是否进行分区、分类贮存。</w:t>
      </w:r>
    </w:p>
    <w:p w14:paraId="1505AC41">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7.根据危险废物特性是否采用过道、隔板或隔墙进行隔离。</w:t>
      </w:r>
    </w:p>
    <w:p w14:paraId="75094AE3">
      <w:pPr>
        <w:pStyle w:val="2"/>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8.废弃危险化学品是否存放于符合安全要求的原危化品贮存设施内。</w:t>
      </w:r>
    </w:p>
    <w:p w14:paraId="70F5375E">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9.易燃、易爆及排出有毒气体的危险废物是否经预处理使之稳定化后方可贮存于设施内。</w:t>
      </w:r>
    </w:p>
    <w:p w14:paraId="6AB7B16D">
      <w:pPr>
        <w:pStyle w:val="2"/>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10.设施内是否配备有机气体报警、火灾报警装置和导出静电的接地装置。</w:t>
      </w:r>
    </w:p>
    <w:p w14:paraId="519BAB1B">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11.具有易燃性的危险废物如未进行稳定化预处理，是否存放于符合要求的防爆柜内。</w:t>
      </w:r>
    </w:p>
    <w:p w14:paraId="33997F3A">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12.贮存液态、半固态以及其他可能有渗滤液产生的危险废物，是否配备泄漏液体收集装置。</w:t>
      </w:r>
    </w:p>
    <w:p w14:paraId="09C6D3C9">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13.可能产生粉尘、挥发性有机物、酸雾以及其他有毒有害气态污染物质的危险废物贮存设施是否设置气体收集装置，并导入气体净化设施。</w:t>
      </w:r>
    </w:p>
    <w:p w14:paraId="4642C198">
      <w:pPr>
        <w:pStyle w:val="2"/>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14.危险废物的容器和包装物是否完好无损。</w:t>
      </w:r>
    </w:p>
    <w:p w14:paraId="6C844D18">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15.是否按规定设置危险废物识别标志。</w:t>
      </w:r>
    </w:p>
    <w:p w14:paraId="4A7345DC">
      <w:pPr>
        <w:pStyle w:val="2"/>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16.是否按规定填写信息。</w:t>
      </w:r>
    </w:p>
    <w:p w14:paraId="2390C274">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17.废弃危化品是否满足危险化学品包装要求。</w:t>
      </w:r>
    </w:p>
    <w:p w14:paraId="544F1E47">
      <w:pPr>
        <w:pStyle w:val="2"/>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18.具有易燃性的危险废物是否满足易燃性危险化学品包装要求。</w:t>
      </w:r>
    </w:p>
    <w:p w14:paraId="4A53C37B">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19.具有爆炸性或者排出有毒气体的危险废物经预处理稳定化后，包装封口是否严密。</w:t>
      </w:r>
    </w:p>
    <w:p w14:paraId="406B4915">
      <w:pPr>
        <w:pStyle w:val="2"/>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20.具有毒性的危险废物，其容器封闭形式是否有效隔断污染物迁移扩散途径。</w:t>
      </w:r>
    </w:p>
    <w:p w14:paraId="7A38C3CE">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21.具有腐蚀性的危险废物，其包装容器的材质是否具有相容性，并且具有一定强度。</w:t>
      </w:r>
    </w:p>
    <w:p w14:paraId="36B23BC8">
      <w:pPr>
        <w:pStyle w:val="2"/>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22.液态、半固态的危险废物不宜盛装过满，是否保留约20%的剩余容积，或容器顶部与液面之间保留1m以上的空间。</w:t>
      </w:r>
    </w:p>
    <w:p w14:paraId="37EF31B8">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23.可能有粉尘产生的固态危险废物，包装封口是否严密，是否使用防渗包装。</w:t>
      </w:r>
    </w:p>
    <w:p w14:paraId="0794A31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p>
    <w:sectPr>
      <w:headerReference r:id="rId3" w:type="default"/>
      <w:footerReference r:id="rId4" w:type="default"/>
      <w:pgSz w:w="11905" w:h="1684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Noto Music"/>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等线">
    <w:altName w:val="国标仿宋"/>
    <w:panose1 w:val="00000000000000000000"/>
    <w:charset w:val="00"/>
    <w:family w:val="auto"/>
    <w:pitch w:val="default"/>
    <w:sig w:usb0="00000000" w:usb1="00000000" w:usb2="00000000" w:usb3="00000000" w:csb0="00000000" w:csb1="00000000"/>
  </w:font>
  <w:font w:name="国标仿宋">
    <w:panose1 w:val="02000500000000000000"/>
    <w:charset w:val="86"/>
    <w:family w:val="auto"/>
    <w:pitch w:val="default"/>
    <w:sig w:usb0="A00002BF" w:usb1="38C77CFA" w:usb2="00000016" w:usb3="00000000" w:csb0="00060007" w:csb1="00000000"/>
  </w:font>
  <w:font w:name="楷体_GB2312">
    <w:altName w:val="方正楷体_GBK"/>
    <w:panose1 w:val="02010609030101010101"/>
    <w:charset w:val="86"/>
    <w:family w:val="auto"/>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00"/>
    <w:family w:val="modern"/>
    <w:pitch w:val="default"/>
    <w:sig w:usb0="00000000" w:usb1="00000000" w:usb2="00000016" w:usb3="00000000" w:csb0="00040001" w:csb1="00000000"/>
  </w:font>
  <w:font w:name="Noto Music">
    <w:panose1 w:val="020B0502040504020204"/>
    <w:charset w:val="00"/>
    <w:family w:val="auto"/>
    <w:pitch w:val="default"/>
    <w:sig w:usb0="00000003" w:usb1="02006000" w:usb2="01000000" w:usb3="00000000" w:csb0="00000001" w:csb1="00000000"/>
  </w:font>
  <w:font w:name="Noto Sans CJK JP Bold">
    <w:panose1 w:val="020B0800000000000000"/>
    <w:charset w:val="86"/>
    <w:family w:val="auto"/>
    <w:pitch w:val="default"/>
    <w:sig w:usb0="30000003" w:usb1="2BDF3C10" w:usb2="00000016" w:usb3="00000000" w:csb0="602E0107" w:csb1="00000000"/>
  </w:font>
  <w:font w:name="仿宋_GB2312">
    <w:altName w:val="方正仿宋_GBK"/>
    <w:panose1 w:val="02010609030101010101"/>
    <w:charset w:val="00"/>
    <w:family w:val="modern"/>
    <w:pitch w:val="default"/>
    <w:sig w:usb0="00000000" w:usb1="00000000" w:usb2="00000000" w:usb3="00000000" w:csb0="00040000" w:csb1="00000000"/>
  </w:font>
  <w:font w:name="楷体_GB2312">
    <w:altName w:val="方正楷体_GBK"/>
    <w:panose1 w:val="02010609030101010101"/>
    <w:charset w:val="00"/>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B55380"/>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64FC7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ADB0440"/>
    <w:multiLevelType w:val="singleLevel"/>
    <w:tmpl w:val="EADB0440"/>
    <w:lvl w:ilvl="0" w:tentative="0">
      <w:start w:val="3"/>
      <w:numFmt w:val="chineseCounting"/>
      <w:suff w:val="nothing"/>
      <w:lvlText w:val="（%1）"/>
      <w:lvlJc w:val="left"/>
      <w:rPr>
        <w:rFonts w:hint="eastAsia"/>
      </w:rPr>
    </w:lvl>
  </w:abstractNum>
  <w:abstractNum w:abstractNumId="1">
    <w:nsid w:val="F5B9B34D"/>
    <w:multiLevelType w:val="singleLevel"/>
    <w:tmpl w:val="F5B9B34D"/>
    <w:lvl w:ilvl="0" w:tentative="0">
      <w:start w:val="2"/>
      <w:numFmt w:val="decimal"/>
      <w:lvlText w:val="%1."/>
      <w:lvlJc w:val="left"/>
      <w:rPr>
        <w:rFonts w:hint="default"/>
        <w:color w:val="auto"/>
      </w:rPr>
    </w:lvl>
  </w:abstractNum>
  <w:abstractNum w:abstractNumId="2">
    <w:nsid w:val="FBF2F83B"/>
    <w:multiLevelType w:val="singleLevel"/>
    <w:tmpl w:val="FBF2F83B"/>
    <w:lvl w:ilvl="0" w:tentative="0">
      <w:start w:val="4"/>
      <w:numFmt w:val="decimal"/>
      <w:lvlText w:val="%1."/>
      <w:lvlJc w:val="left"/>
      <w:rPr>
        <w:rFonts w:hint="default"/>
        <w:color w:val="auto"/>
      </w:rPr>
    </w:lvl>
  </w:abstractNum>
  <w:abstractNum w:abstractNumId="3">
    <w:nsid w:val="FFFF7E51"/>
    <w:multiLevelType w:val="singleLevel"/>
    <w:tmpl w:val="FFFF7E51"/>
    <w:lvl w:ilvl="0" w:tentative="0">
      <w:start w:val="1"/>
      <w:numFmt w:val="decimal"/>
      <w:lvlText w:val="%1."/>
      <w:lvlJc w:val="left"/>
      <w:rPr>
        <w:rFonts w:hint="default"/>
        <w:color w:val="auto"/>
      </w:rPr>
    </w:lvl>
  </w:abstractNum>
  <w:abstractNum w:abstractNumId="4">
    <w:nsid w:val="1FFF1228"/>
    <w:multiLevelType w:val="singleLevel"/>
    <w:tmpl w:val="1FFF1228"/>
    <w:lvl w:ilvl="0" w:tentative="0">
      <w:start w:val="3"/>
      <w:numFmt w:val="decimal"/>
      <w:lvlText w:val="%1."/>
      <w:lvlJc w:val="left"/>
      <w:rPr>
        <w:rFonts w:hint="default"/>
        <w:color w:val="auto"/>
      </w:rPr>
    </w:lvl>
  </w:abstractNum>
  <w:abstractNum w:abstractNumId="5">
    <w:nsid w:val="5ABF205E"/>
    <w:multiLevelType w:val="multilevel"/>
    <w:tmpl w:val="5ABF205E"/>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
    <w:nsid w:val="5FFBD910"/>
    <w:multiLevelType w:val="singleLevel"/>
    <w:tmpl w:val="5FFBD910"/>
    <w:lvl w:ilvl="0" w:tentative="0">
      <w:start w:val="5"/>
      <w:numFmt w:val="decimal"/>
      <w:lvlText w:val="%1."/>
      <w:lvlJc w:val="left"/>
      <w:rPr>
        <w:rFonts w:hint="default"/>
        <w:color w:val="auto"/>
      </w:rPr>
    </w:lvl>
  </w:abstractNum>
  <w:abstractNum w:abstractNumId="7">
    <w:nsid w:val="70DC3A42"/>
    <w:multiLevelType w:val="singleLevel"/>
    <w:tmpl w:val="70DC3A42"/>
    <w:lvl w:ilvl="0" w:tentative="0">
      <w:start w:val="6"/>
      <w:numFmt w:val="decimal"/>
      <w:lvlText w:val="%1."/>
      <w:lvlJc w:val="left"/>
      <w:rPr>
        <w:rFonts w:hint="default"/>
        <w:color w:val="auto"/>
      </w:rPr>
    </w:lvl>
  </w:abstractNum>
  <w:num w:numId="1">
    <w:abstractNumId w:val="3"/>
  </w:num>
  <w:num w:numId="2">
    <w:abstractNumId w:val="1"/>
  </w:num>
  <w:num w:numId="3">
    <w:abstractNumId w:val="4"/>
  </w:num>
  <w:num w:numId="4">
    <w:abstractNumId w:val="2"/>
  </w:num>
  <w:num w:numId="5">
    <w:abstractNumId w:val="6"/>
  </w:num>
  <w:num w:numId="6">
    <w:abstractNumId w:val="7"/>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isplayHorizontalDrawingGridEvery w:val="1"/>
  <w:displayVerticalDrawingGridEvery w:val="1"/>
  <w:noPunctuationKerning w:val="1"/>
  <w:compat>
    <w:doNotExpandShiftReturn/>
    <w:doNotWrapTextWithPunct/>
    <w:doNotUseEastAsianBreakRules/>
    <w:useFELayout/>
    <w:splitPgBreakAndParaMark/>
    <w:compatSetting w:name="compatibilityMode" w:uri="http://schemas.microsoft.com/office/word" w:val="12"/>
  </w:compat>
  <w:rsids>
    <w:rsidRoot w:val="00000000"/>
    <w:rsid w:val="3EDB3C59"/>
    <w:rsid w:val="5E77895A"/>
    <w:rsid w:val="6FFF45E3"/>
    <w:rsid w:val="71CF0E44"/>
    <w:rsid w:val="7BFEEDFB"/>
    <w:rsid w:val="7D297A53"/>
    <w:rsid w:val="7E5A730E"/>
    <w:rsid w:val="7E7F7D6D"/>
    <w:rsid w:val="7EBBA5CF"/>
    <w:rsid w:val="7FF62E11"/>
    <w:rsid w:val="9FFD244E"/>
    <w:rsid w:val="AE2E635A"/>
    <w:rsid w:val="C96C47C2"/>
    <w:rsid w:val="E5FB06E7"/>
    <w:rsid w:val="F72FD5E9"/>
    <w:rsid w:val="FB790D25"/>
    <w:rsid w:val="FCBC528B"/>
    <w:rsid w:val="FD7F06D7"/>
    <w:rsid w:val="FEFDC5BD"/>
    <w:rsid w:val="FFFD2A4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rules v:ext="edit">
        <o:r id="V:Rule1" type="connector" idref="#直接箭头连接符 200"/>
        <o:r id="V:Rule2" type="connector" idref="#直接箭头连接符 201"/>
        <o:r id="V:Rule3" type="connector" idref="#直接箭头连接符 202"/>
        <o:r id="V:Rule4" type="connector" idref="#直接箭头连接符 203"/>
        <o:r id="V:Rule5" type="connector" idref="#直接箭头连接符 204"/>
        <o:r id="V:Rule6" type="connector" idref="#直接箭头连接符 206"/>
        <o:r id="V:Rule7" type="connector" idref="#直接箭头连接符 214"/>
        <o:r id="V:Rule8" type="connector" idref="#直接箭头连接符 215"/>
        <o:r id="V:Rule9" type="connector" idref="#直接箭头连接符 216"/>
        <o:r id="V:Rule10" type="connector" idref="#直接箭头连接符 217"/>
        <o:r id="V:Rule11" type="connector" idref="#直接箭头连接符 218"/>
        <o:r id="V:Rule12" type="connector" idref="#直接箭头连接符 219"/>
        <o:r id="V:Rule13" type="connector" idref="#直接箭头连接符 220"/>
        <o:r id="V:Rule14" type="connector" idref="#直接箭头连接符 223"/>
        <o:r id="V:Rule15" type="connector" idref="#直接箭头连接符 230"/>
        <o:r id="V:Rule16" type="connector" idref="#直接箭头连接符 231"/>
        <o:r id="V:Rule17" type="connector" idref="#直接箭头连接符 232"/>
        <o:r id="V:Rule18" type="connector" idref="#直接箭头连接符 233"/>
        <o:r id="V:Rule19" type="connector" idref="#直接箭头连接符 234"/>
        <o:r id="V:Rule20" type="connector" idref="#直接箭头连接符 235"/>
        <o:r id="V:Rule21" type="connector" idref="#直接箭头连接符 236"/>
        <o:r id="V:Rule22" type="connector" idref="#直接箭头连接符 238"/>
        <o:r id="V:Rule23" type="connector" idref="#直接箭头连接符 240"/>
        <o:r id="V:Rule24" type="connector" idref="#直接箭头连接符 242"/>
        <o:r id="V:Rule25" type="connector" idref="#直接箭头连接符 243"/>
        <o:r id="V:Rule26" type="connector" idref="#直接箭头连接符 244"/>
        <o:r id="V:Rule27" type="connector" idref="#直接箭头连接符 245"/>
        <o:r id="V:Rule28" type="connector" idref="#直接箭头连接符 246"/>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index 6"/>
    <w:basedOn w:val="1"/>
    <w:next w:val="1"/>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1"/>
    <customShpInfo spid="_x0000_s2053"/>
    <customShpInfo spid="_x0000_s2054"/>
    <customShpInfo spid="_x0000_s2055"/>
    <customShpInfo spid="_x0000_s2056"/>
    <customShpInfo spid="_x0000_s2057"/>
    <customShpInfo spid="_x0000_s2058"/>
    <customShpInfo spid="_x0000_s2059"/>
    <customShpInfo spid="_x0000_s2060"/>
    <customShpInfo spid="_x0000_s2061"/>
    <customShpInfo spid="_x0000_s2062"/>
    <customShpInfo spid="_x0000_s2063"/>
    <customShpInfo spid="_x0000_s2064"/>
    <customShpInfo spid="_x0000_s2065"/>
    <customShpInfo spid="_x0000_s2066"/>
    <customShpInfo spid="_x0000_s2067"/>
    <customShpInfo spid="_x0000_s2068"/>
    <customShpInfo spid="_x0000_s2069"/>
    <customShpInfo spid="_x0000_s2070"/>
    <customShpInfo spid="_x0000_s2071"/>
    <customShpInfo spid="_x0000_s2072"/>
    <customShpInfo spid="_x0000_s2073"/>
    <customShpInfo spid="_x0000_s2074"/>
    <customShpInfo spid="_x0000_s2075"/>
    <customShpInfo spid="_x0000_s2076"/>
    <customShpInfo spid="_x0000_s2077"/>
    <customShpInfo spid="_x0000_s2078"/>
    <customShpInfo spid="_x0000_s2079"/>
    <customShpInfo spid="_x0000_s2080"/>
    <customShpInfo spid="_x0000_s2081"/>
    <customShpInfo spid="_x0000_s2082"/>
    <customShpInfo spid="_x0000_s2083"/>
    <customShpInfo spid="_x0000_s2084"/>
    <customShpInfo spid="_x0000_s2085"/>
    <customShpInfo spid="_x0000_s2086"/>
    <customShpInfo spid="_x0000_s2087"/>
    <customShpInfo spid="_x0000_s2088"/>
    <customShpInfo spid="_x0000_s2089"/>
    <customShpInfo spid="_x0000_s2090"/>
    <customShpInfo spid="_x0000_s2091"/>
    <customShpInfo spid="_x0000_s2092"/>
    <customShpInfo spid="_x0000_s2093"/>
    <customShpInfo spid="_x0000_s2094"/>
    <customShpInfo spid="_x0000_s2095"/>
    <customShpInfo spid="_x0000_s2096"/>
    <customShpInfo spid="_x0000_s2097"/>
    <customShpInfo spid="_x0000_s2098"/>
    <customShpInfo spid="_x0000_s2099"/>
    <customShpInfo spid="_x0000_s2100"/>
    <customShpInfo spid="_x0000_s2101"/>
    <customShpInfo spid="_x0000_s2102"/>
    <customShpInfo spid="_x0000_s2103"/>
    <customShpInfo spid="_x0000_s2104"/>
    <customShpInfo spid="_x0000_s2105"/>
    <customShpInfo spid="_x0000_s2106"/>
    <customShpInfo spid="_x0000_s2107"/>
    <customShpInfo spid="_x0000_s2052"/>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121</Pages>
  <TotalTime>0</TotalTime>
  <ScaleCrop>false</ScaleCrop>
  <LinksUpToDate>false</LinksUpToDate>
  <Application>WPS Office_12.1.2.23578_F1E327BC-269C-435d-A152-05C5408002CA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2026-08-10T01:10:00Z</dcterms:created>
  <dc:creator>Apache POI</dc:creator>
  <cp:lastModifiedBy>WPS_1610507379</cp:lastModifiedBy>
  <dcterms:modified xsi:type="dcterms:W3CDTF">2026-08-21T16:51:02Z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{"Label":"1","ContentProducer":"001191110102MACQD9K64010000","ProduceID":"7671214513638984636","ReservedCode1":"","ContentPropagator":"","PropagateID":"","ReservedCode2":""}</vt:lpwstr>
  </property>
  <property fmtid="{D5CDD505-2E9C-101B-9397-08002B2CF9AE}" pid="3" name="KSOProductBuildVer">
    <vt:lpwstr>2052-12.1.2.23578</vt:lpwstr>
  </property>
  <property fmtid="{D5CDD505-2E9C-101B-9397-08002B2CF9AE}" pid="4" name="ICV">
    <vt:lpwstr>825487474F01FB4E13AA756A14E50025_42</vt:lpwstr>
  </property>
</Properties>
</file>