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6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转移支付安排情况说明</w:t>
      </w:r>
    </w:p>
    <w:p w14:paraId="6323AD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6D535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建议县级一般公共预算收入同口径增长6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.5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%，达到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</w:rPr>
        <w:t>36230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</w:rPr>
        <w:t>。加上级财力性等各类转移支付补助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111276</w:t>
      </w:r>
      <w:r>
        <w:rPr>
          <w:rFonts w:hint="eastAsia" w:ascii="仿宋_GB2312" w:eastAsia="仿宋_GB2312"/>
          <w:sz w:val="32"/>
          <w:szCs w:val="32"/>
        </w:rPr>
        <w:t>万元（含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上级返还性收入1207万元，均衡性转移支付收入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19084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万元，县级基本财力保障机制奖补资金收入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万元，结算补助收入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万元，企事业单位划转补助收入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万元，重点生态功能区转移支付收入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万元，固定数额补助收入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12561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万元，民族地区转移支付收入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18445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万元，一般公共服务共同财政事权转移支付收入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公共安全共同财政事权转移支付收入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409万元，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共同财政事权转移支付收入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，文化旅游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体育和传媒共同财政事权转移支付收入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万元，社会保障和就业共同财政事权转移支付收入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节能环保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共同财政事权转移支付收入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万元，农林水共同财政事权转移支付收入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35173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住房保障共同财政事权转移支付收入175万元，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农林水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专项转移支付收入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247万元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根据财政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</w:rPr>
        <w:t>部提高预算编制完整性，加快支出进度的要求，并要求全额编入预算</w:t>
      </w:r>
      <w:r>
        <w:rPr>
          <w:rFonts w:asci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/>
          <w:color w:val="000000"/>
          <w:sz w:val="32"/>
          <w:szCs w:val="32"/>
        </w:rPr>
        <w:t>上年结转资金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34613</w:t>
      </w:r>
      <w:r>
        <w:rPr>
          <w:rFonts w:ascii="仿宋_GB2312" w:eastAsia="仿宋_GB2312"/>
          <w:color w:val="000000"/>
          <w:sz w:val="32"/>
          <w:szCs w:val="32"/>
        </w:rPr>
        <w:t>万元（</w:t>
      </w:r>
      <w:r>
        <w:rPr>
          <w:rFonts w:hint="eastAsia" w:ascii="仿宋_GB2312" w:eastAsia="仿宋_GB2312"/>
          <w:color w:val="000000"/>
          <w:sz w:val="32"/>
          <w:szCs w:val="32"/>
        </w:rPr>
        <w:t>根据《国务院关于进一步深化预算管理制度改革的意见》国发〔2021〕5号关于“规范按权责发生制列支事项，市县级财政国库集中支付结余不再按权责发生制列支”的规定，国库集中支付按照预算单位实际支付额列报支出</w:t>
      </w:r>
      <w:r>
        <w:rPr>
          <w:rFonts w:ascii="仿宋_GB2312" w:eastAsia="仿宋_GB2312"/>
          <w:color w:val="000000"/>
          <w:sz w:val="32"/>
          <w:szCs w:val="32"/>
        </w:rPr>
        <w:t>，未支付项目资金列入上年结转），一般公共预算总收入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182119</w:t>
      </w:r>
      <w:r>
        <w:rPr>
          <w:rFonts w:hint="eastAsia" w:ascii="仿宋_GB2312" w:eastAsia="仿宋_GB2312"/>
          <w:color w:val="000000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GYwMzE1M2I4YzEyY2EyNzE4NjhiMTI0MDIzYzEifQ=="/>
  </w:docVars>
  <w:rsids>
    <w:rsidRoot w:val="00FB5C16"/>
    <w:rsid w:val="00284C4E"/>
    <w:rsid w:val="0030793F"/>
    <w:rsid w:val="007261EA"/>
    <w:rsid w:val="00787129"/>
    <w:rsid w:val="008A406A"/>
    <w:rsid w:val="00A662AF"/>
    <w:rsid w:val="00C575BB"/>
    <w:rsid w:val="00FB5C16"/>
    <w:rsid w:val="05237F4B"/>
    <w:rsid w:val="2E6C4CB2"/>
    <w:rsid w:val="48A67ADF"/>
    <w:rsid w:val="517B6EDF"/>
    <w:rsid w:val="7F23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652</Words>
  <Characters>735</Characters>
  <Lines>4</Lines>
  <Paragraphs>1</Paragraphs>
  <TotalTime>112</TotalTime>
  <ScaleCrop>false</ScaleCrop>
  <LinksUpToDate>false</LinksUpToDate>
  <CharactersWithSpaces>736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2021-05-24T02:04:00Z</dcterms:created>
  <dc:creator>admin</dc:creator>
  <cp:lastModifiedBy>Administrator</cp:lastModifiedBy>
  <cp:lastPrinted>2022-03-24T00:59:00Z</cp:lastPrinted>
  <dcterms:modified xsi:type="dcterms:W3CDTF">2025-01-09T02:55:22Z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8099A9A5382D48848C74C9689808681B</vt:lpwstr>
  </property>
  <property fmtid="{D5CDD505-2E9C-101B-9397-08002B2CF9AE}" pid="4" name="KSOTemplateDocerSaveRecord">
    <vt:lpwstr>eyJoZGlkIjoiNmJkNGYwMzE1M2I4YzEyY2EyNzE4NjhiMTI0MDIzYzEifQ==</vt:lpwstr>
  </property>
</Properties>
</file>