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年转移支付执行情况说明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年，</w:t>
      </w:r>
      <w:r>
        <w:rPr>
          <w:rFonts w:hint="eastAsia" w:ascii="仿宋_GB2312" w:eastAsia="仿宋_GB2312"/>
          <w:color w:val="auto"/>
          <w:sz w:val="32"/>
          <w:szCs w:val="32"/>
        </w:rPr>
        <w:t>共到位上级补助资金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160181</w:t>
      </w:r>
      <w:r>
        <w:rPr>
          <w:rFonts w:hint="eastAsia" w:ascii="仿宋_GB2312" w:eastAsia="仿宋_GB2312"/>
          <w:color w:val="auto"/>
          <w:sz w:val="32"/>
          <w:szCs w:val="32"/>
        </w:rPr>
        <w:t>万元。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其中：返还性收入1207万元；一般性转移支付补助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148328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万元；专项转移支付收入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10646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万元。政府性基金补助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309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万元。具体明细如下：　　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返还性收入1207万元，其中：增值税和消费税税收返还收入333万元，所得税基数返还收入247万元，成品油价格改革税收返还收入10万元，增值税“五五分享”税收返还收入617万元。</w:t>
      </w:r>
    </w:p>
    <w:p>
      <w:pPr>
        <w:pStyle w:val="10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一般性转移支付收入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148328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万元，其中：均衡性转移支付补助收入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13907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万元，县级基本财力保障机制奖补资金收入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6950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万元，结算补助收入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3976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万元，资源枯竭型城市转移支付补助收入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32362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万元，企事业单位划转补助收入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671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万元，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重点生态功能区转移支付收入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10119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万元，固定数额补助收入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12614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万元，民族地区转移支付收入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16175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万元，贫困地区转移支付收入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5089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 一般公共服务共同财政事权转移支付收入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4万元，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公共安全共同财政事权转移支付收入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368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万元，教育共同财政事权转移支付收入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1273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万元，文化旅游体育与传媒共同财政事权转移支付收入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612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万元，社会保障和就业共同财政事权转移支付收入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5719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万元，卫生健康共同财政事权转移支付收入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1496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万元，节能环保共同财政事权转移支付收入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760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万元，农林水共同财政事权转移支付收入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34280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万元，交通运输共同财政事权转移支付收入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1849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万元，住房保障共同财政事权转移支付收入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51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万元，其他一般性转移支付收入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53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万元。　</w:t>
      </w:r>
    </w:p>
    <w:p>
      <w:pPr>
        <w:pStyle w:val="10"/>
        <w:spacing w:before="0" w:beforeAutospacing="0" w:after="0" w:afterAutospacing="0" w:line="560" w:lineRule="exact"/>
        <w:ind w:firstLine="640"/>
        <w:jc w:val="both"/>
        <w:rPr>
          <w:rFonts w:ascii="仿宋_GB2312" w:hAnsi="Arial" w:eastAsia="仿宋_GB2312" w:cs="Arial"/>
          <w:color w:val="auto"/>
          <w:sz w:val="32"/>
          <w:szCs w:val="32"/>
        </w:rPr>
      </w:pPr>
      <w:r>
        <w:rPr>
          <w:rFonts w:hint="eastAsia" w:ascii="仿宋_GB2312" w:hAnsi="Arial" w:eastAsia="仿宋_GB2312" w:cs="Arial"/>
          <w:color w:val="auto"/>
          <w:sz w:val="32"/>
          <w:szCs w:val="32"/>
        </w:rPr>
        <w:t>专项转移支付收入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10646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万元，其中：一般公共服务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265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万元，公共安全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75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万元，教育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万元，科学技术支出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49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</w:rPr>
        <w:t>，文化体育与传媒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</w:rPr>
        <w:t>万元，社会保障和就业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</w:rPr>
        <w:t>万元，卫生健康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  <w:lang w:val="en-US" w:eastAsia="zh-CN"/>
        </w:rPr>
        <w:t>167</w:t>
      </w:r>
      <w:r>
        <w:rPr>
          <w:rFonts w:hint="eastAsia" w:ascii="仿宋_GB2312" w:hAnsi="Arial" w:eastAsia="仿宋_GB2312" w:cs="Arial"/>
          <w:color w:val="auto"/>
          <w:sz w:val="32"/>
          <w:szCs w:val="32"/>
          <w:highlight w:val="none"/>
        </w:rPr>
        <w:t>万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元，节能环保支出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1357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万元，农林水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3103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万元，交通运输支出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412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万元，资源勘探信息等支出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275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万元，商业服务业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万元，自然资源海洋气象等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eastAsia="zh-CN"/>
        </w:rPr>
        <w:t>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2050万元，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灾害防治及应急管理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万元，其他收入</w:t>
      </w:r>
      <w:r>
        <w:rPr>
          <w:rFonts w:hint="eastAsia" w:ascii="仿宋_GB2312" w:hAnsi="Arial" w:eastAsia="仿宋_GB2312" w:cs="Arial"/>
          <w:color w:val="auto"/>
          <w:sz w:val="32"/>
          <w:szCs w:val="32"/>
          <w:lang w:val="en-US" w:eastAsia="zh-CN"/>
        </w:rPr>
        <w:t>2674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万元。</w:t>
      </w:r>
      <w:bookmarkStart w:id="0" w:name="_GoBack"/>
      <w:bookmarkEnd w:id="0"/>
    </w:p>
    <w:p>
      <w:pPr>
        <w:pStyle w:val="2"/>
        <w:snapToGrid w:val="0"/>
        <w:spacing w:line="560" w:lineRule="exact"/>
        <w:ind w:firstLine="64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</w:rPr>
        <w:t>决算执行情况：返还性收入、县级基本财力保障机制奖补资金收入、均衡性转移支付补助收入、固定数额转移支付等县级统筹安排使用</w:t>
      </w:r>
      <w:r>
        <w:rPr>
          <w:rFonts w:hint="eastAsia" w:ascii="仿宋_GB2312" w:hAnsi="仿宋" w:eastAsia="仿宋_GB2312"/>
          <w:kern w:val="0"/>
          <w:sz w:val="32"/>
          <w:szCs w:val="32"/>
        </w:rPr>
        <w:t>，主要安排于“保工资、保运转、保民生”支出等。</w:t>
      </w:r>
      <w:r>
        <w:rPr>
          <w:rFonts w:hint="eastAsia" w:ascii="仿宋_GB2312" w:hAnsi="Arial" w:eastAsia="仿宋_GB2312" w:cs="Arial"/>
          <w:sz w:val="32"/>
          <w:szCs w:val="32"/>
        </w:rPr>
        <w:t>专项转移支付收入主要根据上级下达专项用途安排支出，其中：</w:t>
      </w:r>
      <w:r>
        <w:rPr>
          <w:rFonts w:hint="eastAsia" w:ascii="仿宋_GB2312" w:hAnsi="仿宋" w:eastAsia="仿宋_GB2312"/>
          <w:kern w:val="0"/>
          <w:sz w:val="32"/>
          <w:szCs w:val="32"/>
        </w:rPr>
        <w:t>重点生态功能区转移支付全部用于生态环境保护和改善民生。</w:t>
      </w:r>
    </w:p>
    <w:p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JkNGYwMzE1M2I4YzEyY2EyNzE4NjhiMTI0MDIzYzEifQ=="/>
  </w:docVars>
  <w:rsids>
    <w:rsidRoot w:val="00CB006E"/>
    <w:rsid w:val="00047704"/>
    <w:rsid w:val="000479B7"/>
    <w:rsid w:val="001B1C76"/>
    <w:rsid w:val="00285521"/>
    <w:rsid w:val="00473E69"/>
    <w:rsid w:val="004B3AFE"/>
    <w:rsid w:val="0065714C"/>
    <w:rsid w:val="0077190E"/>
    <w:rsid w:val="007E08A4"/>
    <w:rsid w:val="00A653C2"/>
    <w:rsid w:val="00CB006E"/>
    <w:rsid w:val="00D04389"/>
    <w:rsid w:val="00E00D3B"/>
    <w:rsid w:val="00F4716E"/>
    <w:rsid w:val="0AF836F2"/>
    <w:rsid w:val="4D397CBD"/>
    <w:rsid w:val="77531442"/>
    <w:rsid w:val="7D3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nhideWhenUsed/>
    <w:qFormat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Times New Roman"/>
      <w:szCs w:val="20"/>
    </w:rPr>
  </w:style>
  <w:style w:type="paragraph" w:customStyle="1" w:styleId="10">
    <w:name w:val="p0"/>
    <w:basedOn w:val="1"/>
    <w:qFormat/>
    <w:uiPriority w:val="0"/>
    <w:pPr>
      <w:widowControl/>
      <w:adjustRightInd w:val="0"/>
      <w:spacing w:before="100" w:beforeAutospacing="1" w:after="100" w:afterAutospacing="1" w:line="312" w:lineRule="atLeast"/>
      <w:jc w:val="left"/>
    </w:pPr>
    <w:rPr>
      <w:rFonts w:ascii="宋体" w:hAnsi="宋体" w:eastAsia="宋体" w:cs="宋体"/>
      <w:color w:val="00000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839</Words>
  <Characters>965</Characters>
  <Lines>6</Lines>
  <Paragraphs>1</Paragraphs>
  <TotalTime>106</TotalTime>
  <ScaleCrop>false</ScaleCrop>
  <LinksUpToDate>false</LinksUpToDate>
  <CharactersWithSpaces>969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2021-05-19T09:19:00Z</dcterms:created>
  <dc:creator>admin</dc:creator>
  <cp:lastModifiedBy>Jy~Fu</cp:lastModifiedBy>
  <dcterms:modified xsi:type="dcterms:W3CDTF">2022-08-18T06:37:22Z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677A764911F5487C9919CE912412A0F7</vt:lpwstr>
  </property>
</Properties>
</file>